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55" w:rsidRPr="00505606" w:rsidRDefault="00505606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noProof/>
          <w:kern w:val="24"/>
          <w:sz w:val="36"/>
          <w:szCs w:val="36"/>
        </w:rPr>
        <w:drawing>
          <wp:inline distT="0" distB="0" distL="0" distR="0">
            <wp:extent cx="4438650" cy="1533368"/>
            <wp:effectExtent l="0" t="0" r="0" b="0"/>
            <wp:docPr id="3" name="Imagen 3" descr="C:\Users\Dr Serra\Desktop\166524484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 Serra\Desktop\16652448400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978" cy="15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455"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  <w:t xml:space="preserve">Adulto  mayor:  </w:t>
      </w:r>
      <w:r w:rsidR="009C1455"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  <w:t>propuesta  de  abordaje  de  la  neumonía  adquirida  en  la  comunidad.</w:t>
      </w:r>
      <w:r w:rsidR="009C1455"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t>Autores:</w:t>
      </w:r>
    </w:p>
    <w:p w:rsidR="004574E4" w:rsidRPr="00505606" w:rsidRDefault="009C1455" w:rsidP="004574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36"/>
          <w:szCs w:val="36"/>
          <w:lang w:val="es-ES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pt-BR"/>
        </w:rPr>
        <w:t xml:space="preserve">Prof. Dr. MCs. Miguel Angel Serra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pt-BR"/>
        </w:rPr>
        <w:t>Valdes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pt-BR"/>
        </w:rPr>
        <w:t>. Especialista 2do.grado Medicina interna.</w:t>
      </w:r>
      <w:r w:rsidR="004574E4" w:rsidRPr="00505606">
        <w:rPr>
          <w:rFonts w:ascii="Arial" w:hAnsi="Arial" w:cs="Arial"/>
          <w:bCs/>
          <w:kern w:val="24"/>
          <w:sz w:val="36"/>
          <w:szCs w:val="36"/>
          <w:lang w:val="pt-BR"/>
        </w:rPr>
        <w:t xml:space="preserve"> CI: </w:t>
      </w:r>
      <w:proofErr w:type="gramStart"/>
      <w:r w:rsidR="004574E4" w:rsidRPr="00505606">
        <w:rPr>
          <w:rFonts w:ascii="Arial" w:hAnsi="Arial" w:cs="Arial"/>
          <w:bCs/>
          <w:kern w:val="24"/>
          <w:sz w:val="36"/>
          <w:szCs w:val="36"/>
          <w:lang w:val="pt-BR"/>
        </w:rPr>
        <w:t xml:space="preserve">51120100480  </w:t>
      </w:r>
      <w:proofErr w:type="spellStart"/>
      <w:r w:rsidR="004574E4" w:rsidRPr="00505606">
        <w:rPr>
          <w:rFonts w:ascii="Arial" w:hAnsi="Arial" w:cs="Arial"/>
          <w:bCs/>
          <w:kern w:val="24"/>
          <w:sz w:val="36"/>
          <w:szCs w:val="36"/>
          <w:lang w:val="pt-BR"/>
        </w:rPr>
        <w:t>email</w:t>
      </w:r>
      <w:proofErr w:type="spellEnd"/>
      <w:proofErr w:type="gramEnd"/>
      <w:r w:rsidR="004574E4" w:rsidRPr="00505606">
        <w:rPr>
          <w:rFonts w:ascii="Arial" w:hAnsi="Arial" w:cs="Arial"/>
          <w:bCs/>
          <w:kern w:val="24"/>
          <w:sz w:val="36"/>
          <w:szCs w:val="36"/>
          <w:lang w:val="pt-BR"/>
        </w:rPr>
        <w:t xml:space="preserve">: </w:t>
      </w:r>
      <w:proofErr w:type="spellStart"/>
      <w:r w:rsidR="004574E4" w:rsidRPr="00505606">
        <w:rPr>
          <w:rFonts w:ascii="Arial" w:hAnsi="Arial" w:cs="Arial"/>
          <w:bCs/>
          <w:kern w:val="24"/>
          <w:sz w:val="36"/>
          <w:szCs w:val="36"/>
          <w:lang w:val="pt-BR"/>
        </w:rPr>
        <w:t>maserra</w:t>
      </w:r>
      <w:proofErr w:type="spellEnd"/>
      <w:r w:rsidR="004574E4"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@infomed.sld.cu</w:t>
      </w:r>
    </w:p>
    <w:p w:rsidR="004574E4" w:rsidRPr="00505606" w:rsidRDefault="009C1455" w:rsidP="004574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36"/>
          <w:szCs w:val="36"/>
          <w:lang w:val="es-ES"/>
        </w:rPr>
      </w:pPr>
      <w:r w:rsidRPr="00505606">
        <w:rPr>
          <w:rFonts w:ascii="Arial" w:hAnsi="Arial" w:cs="Arial"/>
          <w:bCs/>
          <w:kern w:val="24"/>
          <w:sz w:val="36"/>
          <w:szCs w:val="36"/>
          <w:vertAlign w:val="superscript"/>
          <w:lang w:val="pt-BR"/>
        </w:rPr>
        <w:t xml:space="preserve"> </w:t>
      </w:r>
      <w:r w:rsidRPr="00505606">
        <w:rPr>
          <w:rFonts w:ascii="Arial" w:hAnsi="Arial" w:cs="Arial"/>
          <w:bCs/>
          <w:kern w:val="24"/>
          <w:sz w:val="36"/>
          <w:szCs w:val="36"/>
          <w:lang w:val="pt-BR"/>
        </w:rPr>
        <w:t xml:space="preserve">Dra. </w:t>
      </w:r>
      <w:proofErr w:type="spellStart"/>
      <w:proofErr w:type="gram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Yordanka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Aleaga</w:t>
      </w:r>
      <w:proofErr w:type="spellEnd"/>
      <w:proofErr w:type="gram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Hernández. Especialista 1er. Grado en MGI y en Medicina nterna.</w:t>
      </w:r>
      <w:r w:rsidR="004574E4"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CI:77101722956    email: aleagahernandez@gmail.com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36"/>
          <w:szCs w:val="36"/>
          <w:vertAlign w:val="superscript"/>
          <w:lang w:val="es-ES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44"/>
          <w:szCs w:val="44"/>
          <w:vertAlign w:val="superscript"/>
          <w:lang w:val="es-ES"/>
        </w:rPr>
      </w:pPr>
      <w:r w:rsidRPr="00505606">
        <w:rPr>
          <w:rFonts w:ascii="Arial" w:hAnsi="Arial" w:cs="Arial"/>
          <w:bCs/>
          <w:kern w:val="24"/>
          <w:sz w:val="44"/>
          <w:szCs w:val="44"/>
          <w:vertAlign w:val="superscript"/>
          <w:lang w:val="es-ES"/>
        </w:rPr>
        <w:t>Hospital General Docente “Enrique Cabrera”. La Habana.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4"/>
          <w:sz w:val="36"/>
          <w:szCs w:val="36"/>
          <w:lang w:val="es-ES"/>
        </w:rPr>
      </w:pPr>
      <w:bookmarkStart w:id="0" w:name="_GoBack"/>
      <w:bookmarkEnd w:id="0"/>
    </w:p>
    <w:p w:rsidR="009C1455" w:rsidRPr="00505606" w:rsidRDefault="00505606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4"/>
          <w:sz w:val="36"/>
          <w:szCs w:val="36"/>
          <w:lang w:val="es-ES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Presentación: poster electrónico.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4"/>
          <w:sz w:val="36"/>
          <w:szCs w:val="36"/>
          <w:lang w:val="es-ES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Fundamento de la investigación: 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 xml:space="preserve">La neumonía adquirida en la comunidad constituye la causa principal de hospitalización entre los ancianos y la primera causa de Morbilidad y Mortalidad en nuestro Servicio.  </w:t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br/>
        <w:t xml:space="preserve">Su letalidad es elevada. </w:t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lastRenderedPageBreak/>
        <w:t xml:space="preserve">Existen diversas escalas de riesgo y pronóstico y diferentes Guías </w:t>
      </w:r>
      <w:r w:rsidR="00505606" w:rsidRPr="00505606">
        <w:rPr>
          <w:rFonts w:ascii="Arial" w:hAnsi="Arial" w:cs="Arial"/>
          <w:kern w:val="24"/>
          <w:sz w:val="36"/>
          <w:szCs w:val="36"/>
          <w:lang w:val="es-ES"/>
        </w:rPr>
        <w:t>Clínicas de</w:t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 xml:space="preserve"> Sociedades extranjeras. 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Objetivo: </w:t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 xml:space="preserve">Elaborar una propuesta para el abordaje de la neumonía adquirida en la comunidad en el anciano, aplicable tanto en la Atención Primaria de Salud, como en la hospitalización. 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ind w:left="810" w:hanging="810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 xml:space="preserve">Métodos: </w:t>
      </w: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br/>
      </w: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Se</w:t>
      </w: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 xml:space="preserve"> </w:t>
      </w: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realizó la búsqueda de información a través de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>Clinical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>Evidence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 xml:space="preserve">, 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>The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 xml:space="preserve"> Cochrane Library, PUBMED, Google Académico, MEDLINE, LIS,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>Scielo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 xml:space="preserve">,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>Medscape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 xml:space="preserve">, LILACS,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>Latindex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 xml:space="preserve">, HINARI, MEDIGRAPHIC-NEWS y otros. </w:t>
      </w:r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br/>
      </w:r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br/>
        <w:t xml:space="preserve">Se tomaron </w:t>
      </w: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las que reunían evidencias de mayor calidad (I y II) de acuerdo con los criterios de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Grading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of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Recommendations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of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Assessment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Development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and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Evaluations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(GRADE) de los últimos 5 años. (total 104)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Se revisaron las escalas de estratificación de riesgo existentes: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Infectious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Diseases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Society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of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America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/American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Thoracic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Society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(IDSA/ATS), British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Thoracic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Society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(BTS),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European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Respiratory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Society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,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European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Society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of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Clinical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Microbiology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and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Infectious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Diseases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(ERS/ESCMID), Sociedad Española de Neumología y Cirugía Torácica (SEPAR) ,  y recomendaciones de la conducta trazadas por las mismas: IPS de Fine, CURB, CURB 65, CRB 65, CURB-edad</w:t>
      </w: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br/>
      </w: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br/>
      </w:r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t xml:space="preserve">Se tuvo en cuenta los resultados de  la investigación </w:t>
      </w:r>
      <w:r w:rsidRPr="00505606">
        <w:rPr>
          <w:rFonts w:ascii="Arial" w:eastAsia="Times New Roman" w:hAnsi="Arial" w:cs="Arial"/>
          <w:kern w:val="24"/>
          <w:sz w:val="36"/>
          <w:szCs w:val="36"/>
          <w:lang w:val="es-ES_tradnl"/>
        </w:rPr>
        <w:lastRenderedPageBreak/>
        <w:t>previa realizada en el Servicio de Medicina de nuestro centro hospitalario en 2019 y el cuadro básico de medicamentos.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t xml:space="preserve">Principales resultados de la Investigación previa. </w:t>
      </w:r>
    </w:p>
    <w:p w:rsidR="009C1455" w:rsidRPr="00505606" w:rsidRDefault="009C1455" w:rsidP="009C14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</w:pP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>266 egresaron vivos y 61 fallecidos. La mayoría de los ancianos (259/79 %) tenían más de 70 años.</w:t>
      </w:r>
    </w:p>
    <w:p w:rsidR="009C1455" w:rsidRPr="00505606" w:rsidRDefault="009C1455" w:rsidP="009C14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</w:pP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>La mortalidad fue de 25,3 x 1000. La letalidad del 18,7 %. Aumentó a partir de los 70 años, alcanzando 31,2 %.</w:t>
      </w:r>
    </w:p>
    <w:p w:rsidR="009C1455" w:rsidRPr="00505606" w:rsidRDefault="009C1455" w:rsidP="009C14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</w:pP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>Los fallecidos en mayoría con menos de ocho días de estadía (77 %)</w:t>
      </w:r>
    </w:p>
    <w:p w:rsidR="009C1455" w:rsidRPr="00505606" w:rsidRDefault="009C1455" w:rsidP="009C14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</w:pP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 xml:space="preserve">La EPOC, el tabaquismo, la malnutrición, la demencia, las enfermedades cardiovasculares, diabetes, enfermedad cerebrovascular y la desatención en su residencia </w:t>
      </w:r>
      <w:proofErr w:type="gramStart"/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>constituyeron  factores</w:t>
      </w:r>
      <w:proofErr w:type="gramEnd"/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 xml:space="preserve"> de riesgo importantes.</w:t>
      </w:r>
    </w:p>
    <w:p w:rsidR="009C1455" w:rsidRPr="00505606" w:rsidRDefault="009C1455" w:rsidP="009C14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</w:pP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 xml:space="preserve">La insuficiencia respiratoria aguda, los trastornos </w:t>
      </w:r>
      <w:proofErr w:type="gramStart"/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>hidroelectrolíticos  y</w:t>
      </w:r>
      <w:proofErr w:type="gramEnd"/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 xml:space="preserve"> acido básicos, la descompensación cardiaca y trombo embolismo </w:t>
      </w: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lastRenderedPageBreak/>
        <w:t xml:space="preserve">pulmonar fueron las complicaciones más frecuentes y relacionadas con la muerte. </w:t>
      </w:r>
    </w:p>
    <w:p w:rsidR="009C1455" w:rsidRPr="00505606" w:rsidRDefault="009C1455" w:rsidP="009C14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</w:pP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>En la toma de decisiones no se aplicó ninguna escala pronostica de estratificación de riesgo, ni la conducta recomendada en las mismas: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24"/>
          <w:sz w:val="36"/>
          <w:szCs w:val="36"/>
          <w:lang w:val="es-PE"/>
        </w:rPr>
      </w:pP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>-El 33 % pudieron hacer el tratamiento ambulatorio.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24"/>
          <w:sz w:val="36"/>
          <w:szCs w:val="36"/>
          <w:lang w:val="es-PE"/>
        </w:rPr>
      </w:pP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 xml:space="preserve">-El 29 % fueron neumonías severas que debieron ingresarse en Terapia Intensiva (UTI) </w:t>
      </w:r>
      <w:proofErr w:type="spellStart"/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>ó</w:t>
      </w:r>
      <w:proofErr w:type="spellEnd"/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t xml:space="preserve"> Terapia Intermedia (UTIN), con la que no cuenta nuestro centro.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4"/>
          <w:sz w:val="36"/>
          <w:szCs w:val="36"/>
          <w:lang w:val="es-ES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u w:val="single"/>
          <w:lang w:val="es-ES"/>
        </w:rPr>
        <w:t xml:space="preserve">Bajo riesgo: 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Letalidad estimada &lt; 1 %.  Neumonía ligera que debe evolucionar bien.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  <w:t>1.-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Puntaje de 0   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No comorbilidad asociada.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Lesiones limitadas lobulares y no derrame pleural.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Condiciones socioeconómicas-familiares que garanticen los cuidados y cumplimiento del tratamiento. Accesibilidad a los servicios médicos.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ES"/>
        </w:rPr>
        <w:t>Atención Primaria de Salud. Tratamiento ambulatorio.</w:t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ES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  <w:t>2.-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Puntaje 1-2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Comorbilidad asociada no descompensada.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Lesiones limitadas lobulares y no derrame pleural.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Condiciones socioeconómicas-familiares que garanticen los cuidados y cumplimiento del tratamiento. Accesibilidad a los servicios médicos.</w:t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PE"/>
        </w:rPr>
        <w:t xml:space="preserve">Atención Primaria de Salud. Ingreso en el hogar. Supervisión de la evolución por el Médico de la Familia </w:t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PE"/>
        </w:rPr>
        <w:lastRenderedPageBreak/>
        <w:t>y la enfermera.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t>Antimicrobianos recomendados: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kern w:val="24"/>
          <w:sz w:val="36"/>
          <w:szCs w:val="36"/>
          <w:lang w:val="es-PE"/>
        </w:rPr>
        <w:t>Amoxacillina</w:t>
      </w:r>
      <w:proofErr w:type="spellEnd"/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 500mg- 1g cada 8 horas v/o. Por 7 -10 días. 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kern w:val="24"/>
          <w:sz w:val="36"/>
          <w:szCs w:val="36"/>
          <w:lang w:val="es-PE"/>
        </w:rPr>
        <w:t>Azitromicina</w:t>
      </w:r>
      <w:proofErr w:type="spellEnd"/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 250mg c/12 horas o 500 mg diarios v/o. Por 5-7 días.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kern w:val="24"/>
          <w:sz w:val="36"/>
          <w:szCs w:val="36"/>
          <w:lang w:val="es-PE"/>
        </w:rPr>
        <w:t>Cefalexina</w:t>
      </w:r>
      <w:proofErr w:type="spellEnd"/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 1gr. Cada 6 horas v/o. Por 7-10 Días.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  <w:t xml:space="preserve">Penicilina cristalina 1 millón </w:t>
      </w:r>
      <w:proofErr w:type="spellStart"/>
      <w:r w:rsidRPr="00505606">
        <w:rPr>
          <w:rFonts w:ascii="Arial" w:hAnsi="Arial" w:cs="Arial"/>
          <w:kern w:val="24"/>
          <w:sz w:val="36"/>
          <w:szCs w:val="36"/>
          <w:lang w:val="es-PE"/>
        </w:rPr>
        <w:t>Uds</w:t>
      </w:r>
      <w:proofErr w:type="spellEnd"/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 cada 6 horas por vía endovenosa o intramuscular las primeras 72 horas, después Penicilina </w:t>
      </w:r>
      <w:proofErr w:type="spellStart"/>
      <w:r w:rsidRPr="00505606">
        <w:rPr>
          <w:rFonts w:ascii="Arial" w:hAnsi="Arial" w:cs="Arial"/>
          <w:kern w:val="24"/>
          <w:sz w:val="36"/>
          <w:szCs w:val="36"/>
          <w:lang w:val="es-PE"/>
        </w:rPr>
        <w:t>procaínica</w:t>
      </w:r>
      <w:proofErr w:type="spellEnd"/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 1 millón de Uds. por vía intramuscular diaria por 7 días.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kern w:val="24"/>
          <w:sz w:val="36"/>
          <w:szCs w:val="36"/>
          <w:lang w:val="es-PE"/>
        </w:rPr>
        <w:t>Eritromicina</w:t>
      </w:r>
      <w:proofErr w:type="spellEnd"/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 500 mg c/6 horas por 7 días. v/o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PE"/>
        </w:rPr>
        <w:t>Si sospecha de neumonía viral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, </w:t>
      </w:r>
      <w:proofErr w:type="spellStart"/>
      <w:r w:rsidRPr="00505606">
        <w:rPr>
          <w:rFonts w:ascii="Arial" w:hAnsi="Arial" w:cs="Arial"/>
          <w:kern w:val="24"/>
          <w:sz w:val="36"/>
          <w:szCs w:val="36"/>
          <w:lang w:val="es-PE"/>
        </w:rPr>
        <w:t>Oseltamivir</w:t>
      </w:r>
      <w:proofErr w:type="spellEnd"/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 75 mg c/12 horas v/o. por 5 días asociado a un </w:t>
      </w:r>
      <w:proofErr w:type="spellStart"/>
      <w:r w:rsidRPr="00505606">
        <w:rPr>
          <w:rFonts w:ascii="Arial" w:hAnsi="Arial" w:cs="Arial"/>
          <w:kern w:val="24"/>
          <w:sz w:val="36"/>
          <w:szCs w:val="36"/>
          <w:lang w:val="es-PE"/>
        </w:rPr>
        <w:t>macrólido</w:t>
      </w:r>
      <w:proofErr w:type="spellEnd"/>
      <w:r w:rsidRPr="00505606">
        <w:rPr>
          <w:rFonts w:ascii="Arial" w:hAnsi="Arial" w:cs="Arial"/>
          <w:kern w:val="24"/>
          <w:sz w:val="36"/>
          <w:szCs w:val="36"/>
          <w:lang w:val="es-PE"/>
        </w:rPr>
        <w:t>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u w:val="single"/>
          <w:lang w:val="es-ES"/>
        </w:rPr>
        <w:br/>
        <w:t>Alto riesgo:</w:t>
      </w:r>
      <w:r w:rsidRPr="00505606">
        <w:rPr>
          <w:rFonts w:ascii="Arial" w:hAnsi="Arial" w:cs="Arial"/>
          <w:bCs/>
          <w:kern w:val="24"/>
          <w:sz w:val="36"/>
          <w:szCs w:val="36"/>
          <w:u w:val="single"/>
          <w:lang w:val="es-ES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1</w:t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 xml:space="preserve">.- </w:t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ES"/>
        </w:rPr>
        <w:t xml:space="preserve">Puntaje 3 con </w:t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 xml:space="preserve">asociación de algún indicador de alto riesgo: neumonía no grave o no severa con  posibilidades de mala evolución. 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Letalidad estimada entre el 2 y 14 %.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Comorbilidad asociada no descompensada.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ES"/>
        </w:rPr>
        <w:t xml:space="preserve">Ingreso hospitalario en sala de Medicina o Geriatría. 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  <w:t>Antimicrobianos recomendados: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u w:val="single"/>
          <w:lang w:val="es-ES"/>
        </w:rPr>
        <w:t>Primera línea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Cefuroxima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 c/8 horas vía oral por 7-10 días, o 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lastRenderedPageBreak/>
        <w:t>750 mg. cada 8 horas IM o EV por 7-10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Amoxacillina-Sulbactam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Trifamox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) 750 mg cada 8 horas EV solo o asociado a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Azitromicina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 500 mg diarios por 7-10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Ceftriaxona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1-2 g. cada 12 horas EV por 7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Si sospecha de neumonía viral  o mixta </w:t>
      </w:r>
      <w:r w:rsidRPr="00505606">
        <w:rPr>
          <w:rFonts w:ascii="Arial" w:hAnsi="Arial" w:cs="Arial"/>
          <w:bCs/>
          <w:kern w:val="24"/>
          <w:sz w:val="36"/>
          <w:szCs w:val="36"/>
          <w:u w:val="single"/>
          <w:lang w:val="es-ES"/>
        </w:rPr>
        <w:t xml:space="preserve">y menos de 3 días de evolución 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asociar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Oseltamivir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75 mg c/12 horas v/o. por 5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Si se sospecha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broncoaspiración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asociar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clindamicina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metronidazol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.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u w:val="single"/>
          <w:lang w:val="es-ES"/>
        </w:rPr>
        <w:t>Alternativo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s: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Fosfomicina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1 a 2 g, cada 4-6 horas EV por 7 a 10 días. </w:t>
      </w:r>
      <w:r w:rsidRPr="00505606">
        <w:rPr>
          <w:rFonts w:ascii="Arial" w:hAnsi="Arial" w:cs="Arial"/>
          <w:bCs/>
          <w:kern w:val="24"/>
          <w:sz w:val="36"/>
          <w:szCs w:val="36"/>
          <w:u w:val="single"/>
          <w:lang w:val="es-ES"/>
        </w:rPr>
        <w:t xml:space="preserve">No tenemos resistencia reportada en nuestro país de los gérmenes, sobre todo productores de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u w:val="single"/>
          <w:lang w:val="es-ES"/>
        </w:rPr>
        <w:t>betalactamasa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u w:val="single"/>
          <w:lang w:val="es-ES"/>
        </w:rPr>
        <w:t>.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Levofloxacina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 500 mg diarios, una sola vez de 7-10 días v/o,  o EV</w:t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u w:val="single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2.- </w:t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ES"/>
        </w:rPr>
        <w:t xml:space="preserve">Puntaje de 4 o más con </w:t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asociación de varios indicadores de alto riesgo.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ES"/>
        </w:rPr>
        <w:t>Neumonía severa o grave.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Letalidad estimada entre 15 y 40 %.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>Comorbilidad asociada descompensada.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ES"/>
        </w:rPr>
        <w:t>Ingreso en UCI si tiene probabilidades de recuperación. Ingreso en UCIN si no tiene posibilidades de recuperación.</w:t>
      </w:r>
      <w:r w:rsidRPr="00505606">
        <w:rPr>
          <w:rFonts w:ascii="Arial" w:hAnsi="Arial" w:cs="Arial"/>
          <w:kern w:val="24"/>
          <w:sz w:val="36"/>
          <w:szCs w:val="36"/>
          <w:u w:val="single"/>
          <w:lang w:val="es-PE"/>
        </w:rPr>
        <w:br/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lastRenderedPageBreak/>
        <w:t>Antimicrobianos recomendados  (opciones):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Amoxacillina-sulbactan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1,5 g. cada 8 horas por vía endovenosa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Azitromicina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mg. 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claritromicina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mg. cada 12 horas 7-14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Ampicillina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(2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gr.c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/4-6 h)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Claritromicina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(500 mg. cada 12 horas)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Levofloxacina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(750 mg/día) endovenoso 7-14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Levofloxacina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mg. cada 12 horas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Clindamicina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600 mg c/8 h por vía endovenosa.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Cefepime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(1-2 gr cada 12 horas)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Piperacilina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/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tazobactam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(4,5 gr cada 8 horas)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Ciprofloxacina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(400 mg cada 8 horas) endovenosos 7-10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Cefepime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Piperacilina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/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tazobactam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Amikacina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(10 mg/kg/día) EV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Claritromicina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mg. cada 12 horas 7-10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Aztreonam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(2 gr cada 8 horas)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Amikacina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(10 mg. x Kg)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Levofloxacina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(750 mg/día) endovenosos  7-10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4"/>
          <w:sz w:val="36"/>
          <w:szCs w:val="36"/>
          <w:lang w:val="es-PE"/>
        </w:rPr>
      </w:pP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Ceftriaxona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1 a 2 g cada 12 horas por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via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endovenosa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Eritromicina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 cada 6 horas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Claritromicina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 cada 12 horas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Rifampicina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600 mg cada 12 horas 7-14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Cefuroxima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1, 5 g cada 8 horas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Eritromicina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mg. cada 6 horas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Claritromicina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mg. cada 12 horas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Rifampicina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600 mg. cada 12 horas  7-14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Fosfomicina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1 a 2 g, cada 4-6 horas EV por 7 a 14 días. </w:t>
      </w:r>
      <w:r w:rsidRPr="00505606">
        <w:rPr>
          <w:rFonts w:ascii="Arial" w:hAnsi="Arial" w:cs="Arial"/>
          <w:bCs/>
          <w:i/>
          <w:iCs/>
          <w:kern w:val="24"/>
          <w:sz w:val="36"/>
          <w:szCs w:val="36"/>
          <w:u w:val="single"/>
          <w:lang w:val="es-ES"/>
        </w:rPr>
        <w:t xml:space="preserve">No tenemos resistencia reportada en nuestro país de los gérmenes, sobre todo productores de </w:t>
      </w:r>
      <w:proofErr w:type="spellStart"/>
      <w:r w:rsidRPr="00505606">
        <w:rPr>
          <w:rFonts w:ascii="Arial" w:hAnsi="Arial" w:cs="Arial"/>
          <w:bCs/>
          <w:i/>
          <w:iCs/>
          <w:kern w:val="24"/>
          <w:sz w:val="36"/>
          <w:szCs w:val="36"/>
          <w:u w:val="single"/>
          <w:lang w:val="es-ES"/>
        </w:rPr>
        <w:lastRenderedPageBreak/>
        <w:t>betalactamasa</w:t>
      </w:r>
      <w:proofErr w:type="spellEnd"/>
      <w:r w:rsidRPr="00505606">
        <w:rPr>
          <w:rFonts w:ascii="Arial" w:hAnsi="Arial" w:cs="Arial"/>
          <w:bCs/>
          <w:i/>
          <w:iCs/>
          <w:kern w:val="24"/>
          <w:sz w:val="36"/>
          <w:szCs w:val="36"/>
          <w:u w:val="single"/>
          <w:lang w:val="es-ES"/>
        </w:rPr>
        <w:t>.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Cefotaxima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1 a 2 g. cada 6-8 horas más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Eritromicina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mg. cada 6 horas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Azitromicina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 diarios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Claritromicina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500 mg. cada 12 horas o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Rifampicina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600 mg cada 12 horas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Asociar </w:t>
      </w:r>
      <w:proofErr w:type="spellStart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Oseltamivir</w:t>
      </w:r>
      <w:proofErr w:type="spellEnd"/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 xml:space="preserve"> 75 a 150 mg c/12 horas si sospecha viral o mixta </w:t>
      </w:r>
      <w:r w:rsidRPr="00505606">
        <w:rPr>
          <w:rFonts w:ascii="Arial" w:hAnsi="Arial" w:cs="Arial"/>
          <w:bCs/>
          <w:kern w:val="24"/>
          <w:sz w:val="36"/>
          <w:szCs w:val="36"/>
          <w:u w:val="single"/>
          <w:lang w:val="es-ES"/>
        </w:rPr>
        <w:t xml:space="preserve">con menos de 3 días </w:t>
      </w: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t>de evolución por 5 días.</w:t>
      </w: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br/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es-PE"/>
        </w:rPr>
        <w:t>Exámenes complementarios que consideramos indispensables: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noProof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9B949" wp14:editId="3D45F52B">
                <wp:simplePos x="0" y="0"/>
                <wp:positionH relativeFrom="column">
                  <wp:posOffset>3358515</wp:posOffset>
                </wp:positionH>
                <wp:positionV relativeFrom="paragraph">
                  <wp:posOffset>4445</wp:posOffset>
                </wp:positionV>
                <wp:extent cx="552450" cy="2600325"/>
                <wp:effectExtent l="0" t="19050" r="19050" b="28575"/>
                <wp:wrapNone/>
                <wp:docPr id="2" name="Cerra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600325"/>
                        </a:xfrm>
                        <a:prstGeom prst="rightBrace">
                          <a:avLst>
                            <a:gd name="adj1" fmla="val 0"/>
                            <a:gd name="adj2" fmla="val 48897"/>
                          </a:avLst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14DC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2" o:spid="_x0000_s1026" type="#_x0000_t88" style="position:absolute;margin-left:264.45pt;margin-top:.35pt;width:43.5pt;height:20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HWigIAAH0FAAAOAAAAZHJzL2Uyb0RvYy54bWysVFtv0zAUfkfiP1h+Z0mzduuqpVPpNIQ0&#10;bRUb2rPn2E2Qbxy7Tcuv59hJ2gomIRAvzjk51+/crm92WpGtAN9YU9LRWU6JMNxWjVmX9Ovz3Ycp&#10;JT4wUzFljSjpXnh6M3//7rp1M1HY2qpKAEEnxs9aV9I6BDfLMs9roZk/s04YFEoLmgVkYZ1VwFr0&#10;rlVW5PlF1lqoHFguvMe/t52QzpN/KQUPj1J6EYgqKeYW0gvpfY1vNr9mszUwVze8T4P9QxaaNQaD&#10;HlzdssDIBprfXOmGg/VWhjNudWalbLhIGBDNKP8FzVPNnEhYsDjeHcrk/59b/rBdAWmqkhaUGKax&#10;RUsBwIAoxbaCFLFCrfMzVHxyK+g5j2SEu5Og4xeBkF2q6v5QVbELhOPPyaQYT7D2HEXFRZ6fF5Po&#10;NDtaO/Dhk7CaRKKk0Kzr8BEYj9jZjG3vfUi1rfoMWfVtRInUClu1ZYoMbTyRI5qjfDydXl32MXtv&#10;GH2IGl0rQ9qSnk9HefKVRcQdxkSFvRKd2hchsVqIapRyS3MqlgoI5lFSxrkwYdSHUga1o5lslDoY&#10;5n827PWjqUgz/DfGB4sU2ZpwMNaNsfBW9LAbUpadPnbnBHckX221x0EB222Qd/yuwWbdMx9WDLAP&#10;2GA8A+ERH6ksFtP2FCW1hR9v/Y/6OMkopaTFFSyp/75hIChRnw3O+NVoPI47m5jx5LJABk4lr6cS&#10;s9FLiz3AycDsEhn1gxpICVa/4LVYxKgoYoZj7JLyAAOzDN1pwHvDxWKR1HBPHQv35snxoetxcp53&#10;LwxcP7EBZ/3BDuvaj2w340fd2A9jF5tgZROi8FjXnsEdT3vR36N4RE75pHW8mvOfAAAA//8DAFBL&#10;AwQUAAYACAAAACEAwJqFHNwAAAAIAQAADwAAAGRycy9kb3ducmV2LnhtbEyPwU7DMBBE70j8g7VI&#10;3KiTiJQ0ZFNBERLilsIHuPE2jojXUew2ga/HnOhxNKOZN9V2sYM40+R7xwjpKgFB3Drdc4fw+fF6&#10;V4DwQbFWg2NC+CYP2/r6qlKldjM3dN6HTsQS9qVCMCGMpZS+NWSVX7mROHpHN1kVopw6qSc1x3I7&#10;yCxJ1tKqnuOCUSPtDLVf+5NF6N/p5eftucib/GjmTdfwnO4Y8fZmeXoEEWgJ/2H4w4/oUEemgzux&#10;9mJAyLNiE6MIDyCivU7zKA8I92mSgawreXmg/gUAAP//AwBQSwECLQAUAAYACAAAACEAtoM4kv4A&#10;AADhAQAAEwAAAAAAAAAAAAAAAAAAAAAAW0NvbnRlbnRfVHlwZXNdLnhtbFBLAQItABQABgAIAAAA&#10;IQA4/SH/1gAAAJQBAAALAAAAAAAAAAAAAAAAAC8BAABfcmVscy8ucmVsc1BLAQItABQABgAIAAAA&#10;IQB59NHWigIAAH0FAAAOAAAAAAAAAAAAAAAAAC4CAABkcnMvZTJvRG9jLnhtbFBLAQItABQABgAI&#10;AAAAIQDAmoUc3AAAAAgBAAAPAAAAAAAAAAAAAAAAAOQEAABkcnMvZG93bnJldi54bWxQSwUGAAAA&#10;AAQABADzAAAA7QUAAAAA&#10;" adj="0,10562" strokecolor="#5b9bd5 [3204]" strokeweight="3pt">
                <v:stroke joinstyle="miter"/>
              </v:shape>
            </w:pict>
          </mc:Fallback>
        </mc:AlternateContent>
      </w:r>
      <w:r w:rsidRPr="00505606">
        <w:rPr>
          <w:rFonts w:ascii="Arial" w:hAnsi="Arial" w:cs="Arial"/>
          <w:noProof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1E754" wp14:editId="640440AE">
                <wp:simplePos x="0" y="0"/>
                <wp:positionH relativeFrom="column">
                  <wp:posOffset>3006090</wp:posOffset>
                </wp:positionH>
                <wp:positionV relativeFrom="paragraph">
                  <wp:posOffset>52705</wp:posOffset>
                </wp:positionV>
                <wp:extent cx="628650" cy="914400"/>
                <wp:effectExtent l="0" t="19050" r="152400" b="19050"/>
                <wp:wrapNone/>
                <wp:docPr id="1" name="Cerra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914400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A3551" id="Cerrar llave 1" o:spid="_x0000_s1026" type="#_x0000_t88" style="position:absolute;margin-left:236.7pt;margin-top:4.15pt;width:49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vqaQIAAC8FAAAOAAAAZHJzL2Uyb0RvYy54bWysVN9P2zAQfp+0/8Hy+0hbtcCqpqgrYpqE&#10;AAETz8axG0uOzzu7Tbu/fmcnKWggTZv24px9v7/7LouLfWPZTmEw4Eo+PhlxppyEyrhNyb8/Xn06&#10;5yxE4SphwamSH1TgF8uPHxatn6sJ1GArhYyCuDBvfcnrGP28KIKsVSPCCXjlSKkBGxHpipuiQtFS&#10;9MYWk9HotGgBK48gVQj0etkp+TLH11rJeKt1UJHZklNtMZ+Yz+d0FsuFmG9Q+NrIvgzxD1U0wjhK&#10;egx1KaJgWzRvQjVGIgTQ8URCU4DWRqrcA3UzHv3WzUMtvMq9EDjBH2EK/y+svNndITMVzY4zJxoa&#10;0VohCmTWip1i44RQ68OcDB/8Hfa3QGJqd6+xSV9qhO0zqocjqmofmaTH08n56Yywl6T6PJ5ORxn1&#10;4sXZY4hfFTQsCSVHs6njFxQytS7mYncdIqUlh8EwPVvH2pJPzmdns1RikWrsqspSPFjVmd0rTf1R&#10;HeMcLjNLrS2ynSBOCCmVi7lLSmAdWSc3baw9Oo7+7NjbJ1eVWfc3zkePnBlcPDo3xgG+lz3uh5J1&#10;Zz8g0PWdIHiG6kCjReg4H7y8MoTvtQjxTiCRnEZCixtv6dAWCEzoJc5qwJ/vvSd74h5pOWtpaUoe&#10;fmwFKs7sN0eszOOlLcuX6exsQjnwteb5tcZtmzXQDIh5VF0Wk320g6gRmifa71XKSirhJOUuuYw4&#10;XNaxW2b6Q0i1WmUz2iwv4rV78HKYemLO4/5JoO9JFomdNzAs2BuWdbZpHg5W2wjaZAq+4NrjTVuZ&#10;mdn/QdLav75nq5f/3PIXAAAA//8DAFBLAwQUAAYACAAAACEAucwyhd8AAAAJAQAADwAAAGRycy9k&#10;b3ducmV2LnhtbEyPQU+DQBCF7yb+h82YeLOL0NoGWRqD1sR6ajXxumWnQGBnkV1a+u8dT3p8eV/e&#10;fJOtJ9uJEw6+caTgfhaBQCqdaahS8PmxuVuB8EGT0Z0jVHBBD+v8+irTqXFn2uFpHyrBI+RTraAO&#10;oU+l9GWNVvuZ65G4O7rB6sBxqKQZ9JnHbSfjKHqQVjfEF2rdY1Fj2e5Hq6Adj9vX4pm+pvei3VzG&#10;Xf/yjW9K3d5MT48gAk7hD4ZffVaHnJ0ObiTjRadgvkzmjCpYJSC4XyxjzgcGF3ECMs/k/w/yHwAA&#10;AP//AwBQSwECLQAUAAYACAAAACEAtoM4kv4AAADhAQAAEwAAAAAAAAAAAAAAAAAAAAAAW0NvbnRl&#10;bnRfVHlwZXNdLnhtbFBLAQItABQABgAIAAAAIQA4/SH/1gAAAJQBAAALAAAAAAAAAAAAAAAAAC8B&#10;AABfcmVscy8ucmVsc1BLAQItABQABgAIAAAAIQCL0nvqaQIAAC8FAAAOAAAAAAAAAAAAAAAAAC4C&#10;AABkcnMvZTJvRG9jLnhtbFBLAQItABQABgAIAAAAIQC5zDKF3wAAAAkBAAAPAAAAAAAAAAAAAAAA&#10;AMMEAABkcnMvZG93bnJldi54bWxQSwUGAAAAAAQABADzAAAAzwUAAAAA&#10;" adj="1237" strokecolor="#5b9bd5 [3204]" strokeweight="2.25pt">
                <v:stroke joinstyle="miter"/>
              </v:shape>
            </w:pict>
          </mc:Fallback>
        </mc:AlternateConten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t>Hemograma con diferencial.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kern w:val="24"/>
          <w:sz w:val="36"/>
          <w:szCs w:val="36"/>
          <w:lang w:val="es-PE"/>
        </w:rPr>
        <w:t>Radiología del Tórax PA.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                   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Bajo riesgo 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kern w:val="24"/>
          <w:sz w:val="36"/>
          <w:szCs w:val="36"/>
          <w:lang w:val="es-PE"/>
        </w:rPr>
        <w:t>Electrocardiograma.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kern w:val="24"/>
          <w:sz w:val="36"/>
          <w:szCs w:val="36"/>
          <w:lang w:val="es-PE"/>
        </w:rPr>
        <w:t>Oximetría de pulso.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Gasometría arterial.                       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        Alto riesgo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proofErr w:type="spellStart"/>
      <w:r w:rsidRPr="00505606">
        <w:rPr>
          <w:rFonts w:ascii="Arial" w:hAnsi="Arial" w:cs="Arial"/>
          <w:kern w:val="24"/>
          <w:sz w:val="36"/>
          <w:szCs w:val="36"/>
          <w:lang w:val="es-PE"/>
        </w:rPr>
        <w:t>Ionograma</w:t>
      </w:r>
      <w:proofErr w:type="spellEnd"/>
      <w:r w:rsidRPr="00505606">
        <w:rPr>
          <w:rFonts w:ascii="Arial" w:hAnsi="Arial" w:cs="Arial"/>
          <w:kern w:val="24"/>
          <w:sz w:val="36"/>
          <w:szCs w:val="36"/>
          <w:lang w:val="es-PE"/>
        </w:rPr>
        <w:t>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kern w:val="24"/>
          <w:sz w:val="36"/>
          <w:szCs w:val="36"/>
          <w:lang w:val="es-PE"/>
        </w:rPr>
        <w:t>Glicemia.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kern w:val="24"/>
          <w:sz w:val="36"/>
          <w:szCs w:val="36"/>
          <w:lang w:val="es-PE"/>
        </w:rPr>
        <w:t>Urea o Creatinina.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kern w:val="24"/>
          <w:sz w:val="36"/>
          <w:szCs w:val="36"/>
          <w:lang w:val="es-PE"/>
        </w:rPr>
        <w:t>Hemocultivo.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kern w:val="24"/>
          <w:sz w:val="36"/>
          <w:szCs w:val="36"/>
          <w:lang w:val="es-PE"/>
        </w:rPr>
        <w:t>Esputo.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eastAsia="Times New Roman" w:hAnsi="Arial" w:cs="Arial"/>
          <w:bCs/>
          <w:kern w:val="24"/>
          <w:sz w:val="36"/>
          <w:szCs w:val="36"/>
          <w:lang w:val="es-ES"/>
        </w:rPr>
        <w:br/>
      </w: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Si no hay respuesta al tratamiento en 72 horas o existe empeoramiento debe considerarse: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</w:p>
    <w:p w:rsidR="009C1455" w:rsidRPr="00505606" w:rsidRDefault="009C1455" w:rsidP="009C14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Diagnóstico incorrecto: no se trata de una NAC o es una enfermedad no infecciosa con un componente de sepsis asociada. Reevaluar el diagnóstico.</w:t>
      </w:r>
    </w:p>
    <w:p w:rsidR="009C1455" w:rsidRPr="00505606" w:rsidRDefault="009C1455" w:rsidP="009C14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lastRenderedPageBreak/>
        <w:t xml:space="preserve">Problemas relacionados con el huésped: factores locales broncopulmonares no detectados, inadecuada respuesta del huésped o complicaciones no diagnosticadas. </w:t>
      </w:r>
    </w:p>
    <w:p w:rsidR="009C1455" w:rsidRPr="00505606" w:rsidRDefault="009C1455" w:rsidP="009C14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Problemas relacionados con el antibiótico: errores en la selección, errores en la dosis o vía de administración, incumplimiento del tratamiento o reacciones adversas.</w:t>
      </w:r>
    </w:p>
    <w:p w:rsidR="009C1455" w:rsidRPr="00505606" w:rsidRDefault="009C1455" w:rsidP="009C14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Problemas relacionados con el patógeno: organismos </w:t>
      </w:r>
      <w:proofErr w:type="spellStart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>multirresistentes</w:t>
      </w:r>
      <w:proofErr w:type="spellEnd"/>
      <w:r w:rsidRPr="00505606">
        <w:rPr>
          <w:rFonts w:ascii="Arial" w:eastAsia="Times New Roman" w:hAnsi="Arial" w:cs="Arial"/>
          <w:kern w:val="24"/>
          <w:sz w:val="36"/>
          <w:szCs w:val="36"/>
          <w:lang w:val="es-ES"/>
        </w:rPr>
        <w:t xml:space="preserve"> u otros organismos patógenos no identificados.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bCs/>
          <w:kern w:val="24"/>
          <w:sz w:val="36"/>
          <w:szCs w:val="36"/>
          <w:lang w:val="es-ES"/>
        </w:rPr>
        <w:br/>
        <w:t xml:space="preserve">CONCLUSIONES 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br/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ES"/>
        </w:rPr>
      </w:pPr>
      <w:r w:rsidRPr="00505606">
        <w:rPr>
          <w:rFonts w:ascii="Arial" w:hAnsi="Arial" w:cs="Arial"/>
          <w:kern w:val="24"/>
          <w:sz w:val="36"/>
          <w:szCs w:val="36"/>
          <w:lang w:val="es-ES"/>
        </w:rPr>
        <w:t>La neumonía adquirida en la comunidad en el anciano constituye en la actualidad un problema de salud y un reto futuro por el envejecimiento poblacional.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ES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La presente propuesta de abordaje, a juicio de los autores, puede ser implementada en cualquier nivel de atención del Sistema Nacional de Salud. Facilita la toma de decisiones, disminuye la incertidumbre del qué hacer y reduce la posibilidad </w:t>
      </w:r>
      <w:r w:rsidR="004574E4" w:rsidRPr="00505606">
        <w:rPr>
          <w:rFonts w:ascii="Arial" w:hAnsi="Arial" w:cs="Arial"/>
          <w:kern w:val="24"/>
          <w:sz w:val="36"/>
          <w:szCs w:val="36"/>
          <w:lang w:val="es-PE"/>
        </w:rPr>
        <w:t>de errores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. 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kern w:val="24"/>
          <w:sz w:val="36"/>
          <w:szCs w:val="36"/>
          <w:lang w:val="es-PE"/>
        </w:rPr>
        <w:t xml:space="preserve"> 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  <w:r w:rsidRPr="00505606">
        <w:rPr>
          <w:rFonts w:ascii="Arial" w:hAnsi="Arial" w:cs="Arial"/>
          <w:i/>
          <w:iCs/>
          <w:kern w:val="24"/>
          <w:sz w:val="36"/>
          <w:szCs w:val="36"/>
          <w:u w:val="single"/>
          <w:lang w:val="es-PE"/>
        </w:rPr>
        <w:t>Debe tener un seguimiento que permita determinar las limitantes o la eficacia para su modificación en escenarios propios</w:t>
      </w:r>
      <w:r w:rsidRPr="00505606">
        <w:rPr>
          <w:rFonts w:ascii="Arial" w:hAnsi="Arial" w:cs="Arial"/>
          <w:kern w:val="24"/>
          <w:sz w:val="36"/>
          <w:szCs w:val="36"/>
          <w:lang w:val="es-PE"/>
        </w:rPr>
        <w:t>.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ES"/>
        </w:rPr>
      </w:pPr>
      <w:r w:rsidRPr="00505606">
        <w:rPr>
          <w:rFonts w:ascii="Arial" w:hAnsi="Arial" w:cs="Arial"/>
          <w:kern w:val="24"/>
          <w:sz w:val="36"/>
          <w:szCs w:val="36"/>
          <w:lang w:val="es-ES"/>
        </w:rPr>
        <w:lastRenderedPageBreak/>
        <w:t>La labor</w:t>
      </w:r>
      <w:r w:rsidRPr="00505606">
        <w:rPr>
          <w:rFonts w:ascii="Arial" w:hAnsi="Arial" w:cs="Arial"/>
          <w:kern w:val="24"/>
          <w:sz w:val="36"/>
          <w:szCs w:val="36"/>
          <w:lang w:val="es-ES"/>
        </w:rPr>
        <w:t xml:space="preserve"> de prevención y promoción de salud: importancia capital en la APS. </w:t>
      </w: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4"/>
          <w:sz w:val="36"/>
          <w:szCs w:val="36"/>
          <w:lang w:val="es-ES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4"/>
          <w:sz w:val="36"/>
          <w:szCs w:val="36"/>
          <w:lang w:val="es-ES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4"/>
          <w:sz w:val="36"/>
          <w:szCs w:val="36"/>
          <w:lang w:val="es-PE"/>
        </w:rPr>
      </w:pPr>
    </w:p>
    <w:p w:rsidR="009C1455" w:rsidRPr="00505606" w:rsidRDefault="009C1455" w:rsidP="009C14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4"/>
          <w:sz w:val="36"/>
          <w:szCs w:val="36"/>
          <w:lang w:val="es-ES"/>
        </w:rPr>
      </w:pPr>
    </w:p>
    <w:sectPr w:rsidR="009C1455" w:rsidRPr="00505606" w:rsidSect="00613DA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EA8910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8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55"/>
    <w:rsid w:val="0008759F"/>
    <w:rsid w:val="000D1174"/>
    <w:rsid w:val="004574E4"/>
    <w:rsid w:val="00505606"/>
    <w:rsid w:val="009C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8593"/>
  <w15:chartTrackingRefBased/>
  <w15:docId w15:val="{8E73FACE-59AB-48FD-AD67-D50C437E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Serra</dc:creator>
  <cp:keywords/>
  <dc:description/>
  <cp:lastModifiedBy>Dr Serra</cp:lastModifiedBy>
  <cp:revision>3</cp:revision>
  <dcterms:created xsi:type="dcterms:W3CDTF">2022-10-09T23:11:00Z</dcterms:created>
  <dcterms:modified xsi:type="dcterms:W3CDTF">2022-10-09T23:33:00Z</dcterms:modified>
</cp:coreProperties>
</file>