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D2" w:rsidRPr="007B66D2" w:rsidRDefault="007B66D2" w:rsidP="00071204">
      <w:pPr>
        <w:spacing w:before="100" w:beforeAutospacing="1" w:after="100" w:afterAutospacing="1"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ARTÍCULO ORIGINAL</w:t>
      </w:r>
    </w:p>
    <w:p w:rsidR="007B66D2" w:rsidRPr="007B66D2" w:rsidRDefault="007B66D2" w:rsidP="00071204">
      <w:pPr>
        <w:spacing w:before="100" w:beforeAutospacing="1" w:after="0" w:line="360" w:lineRule="auto"/>
        <w:jc w:val="both"/>
        <w:rPr>
          <w:rFonts w:ascii="Arial" w:hAnsi="Arial" w:cs="Arial"/>
          <w:b/>
          <w:bCs/>
          <w:sz w:val="24"/>
          <w:szCs w:val="24"/>
        </w:rPr>
      </w:pPr>
      <w:r w:rsidRPr="003D7F40">
        <w:rPr>
          <w:rFonts w:ascii="Arial" w:hAnsi="Arial" w:cs="Arial"/>
          <w:b/>
          <w:sz w:val="24"/>
          <w:szCs w:val="24"/>
          <w:lang w:val="es-ES"/>
        </w:rPr>
        <w:t>Hipotensión postural como signo de alarma en el Dengue</w:t>
      </w:r>
      <w:r w:rsidRPr="003D7F40">
        <w:rPr>
          <w:rFonts w:ascii="Arial" w:hAnsi="Arial" w:cs="Arial"/>
          <w:b/>
          <w:bCs/>
          <w:sz w:val="24"/>
          <w:szCs w:val="24"/>
        </w:rPr>
        <w:t xml:space="preserve"> </w:t>
      </w:r>
      <w:r w:rsidR="003D7F40">
        <w:rPr>
          <w:rFonts w:ascii="Arial" w:hAnsi="Arial" w:cs="Arial"/>
          <w:b/>
          <w:bCs/>
          <w:sz w:val="24"/>
          <w:szCs w:val="24"/>
        </w:rPr>
        <w:t>/</w:t>
      </w:r>
    </w:p>
    <w:p w:rsidR="007B66D2" w:rsidRPr="003D7F40" w:rsidRDefault="001C1D6C" w:rsidP="00071204">
      <w:pPr>
        <w:spacing w:after="0" w:line="360" w:lineRule="auto"/>
        <w:jc w:val="both"/>
        <w:rPr>
          <w:rFonts w:ascii="Arial" w:eastAsia="Times New Roman" w:hAnsi="Arial" w:cs="Arial"/>
          <w:b/>
          <w:bCs/>
          <w:sz w:val="24"/>
          <w:szCs w:val="24"/>
          <w:lang w:val="en-US" w:eastAsia="es-ES"/>
        </w:rPr>
      </w:pPr>
      <w:r>
        <w:rPr>
          <w:rFonts w:ascii="Arial" w:hAnsi="Arial" w:cs="Arial"/>
          <w:b/>
          <w:bCs/>
          <w:sz w:val="24"/>
          <w:szCs w:val="24"/>
          <w:lang w:val="en-US"/>
        </w:rPr>
        <w:t>Orthostatic</w:t>
      </w:r>
      <w:r w:rsidR="003D7F40" w:rsidRPr="003D7F40">
        <w:rPr>
          <w:rFonts w:ascii="Arial" w:hAnsi="Arial" w:cs="Arial"/>
          <w:b/>
          <w:bCs/>
          <w:sz w:val="24"/>
          <w:szCs w:val="24"/>
          <w:lang w:val="en-US"/>
        </w:rPr>
        <w:t xml:space="preserve"> hypotension as a warning sign in Dengue</w:t>
      </w:r>
    </w:p>
    <w:p w:rsidR="007B66D2" w:rsidRDefault="007B66D2" w:rsidP="00071204">
      <w:pPr>
        <w:spacing w:before="100" w:beforeAutospacing="1" w:after="0" w:line="360" w:lineRule="auto"/>
        <w:jc w:val="both"/>
        <w:rPr>
          <w:rFonts w:ascii="Arial" w:eastAsia="Times New Roman" w:hAnsi="Arial" w:cs="Arial"/>
          <w:b/>
          <w:bCs/>
          <w:sz w:val="24"/>
          <w:szCs w:val="24"/>
          <w:u w:val="single"/>
          <w:lang w:eastAsia="es-ES"/>
        </w:rPr>
      </w:pPr>
      <w:r w:rsidRPr="007B66D2">
        <w:rPr>
          <w:rFonts w:ascii="Arial" w:eastAsia="Times New Roman" w:hAnsi="Arial" w:cs="Arial"/>
          <w:b/>
          <w:bCs/>
          <w:sz w:val="24"/>
          <w:szCs w:val="24"/>
          <w:u w:val="single"/>
          <w:lang w:eastAsia="es-ES"/>
        </w:rPr>
        <w:t>Autores</w:t>
      </w:r>
    </w:p>
    <w:p w:rsidR="007B66D2" w:rsidRPr="007B66D2"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**Roberto Gabriel Albín Cano</w:t>
      </w:r>
    </w:p>
    <w:p w:rsidR="007B66D2" w:rsidRPr="003D7F40"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 xml:space="preserve">Especialista </w:t>
      </w:r>
      <w:r w:rsidR="00A231EA">
        <w:rPr>
          <w:rFonts w:ascii="Arial" w:eastAsia="Times New Roman" w:hAnsi="Arial" w:cs="Arial"/>
          <w:b/>
          <w:bCs/>
          <w:sz w:val="24"/>
          <w:szCs w:val="24"/>
          <w:lang w:eastAsia="es-ES"/>
        </w:rPr>
        <w:t>de</w:t>
      </w:r>
      <w:r w:rsidRPr="007B66D2">
        <w:rPr>
          <w:rFonts w:ascii="Arial" w:eastAsia="Times New Roman" w:hAnsi="Arial" w:cs="Arial"/>
          <w:b/>
          <w:bCs/>
          <w:sz w:val="24"/>
          <w:szCs w:val="24"/>
          <w:lang w:eastAsia="es-ES"/>
        </w:rPr>
        <w:t xml:space="preserve"> Primer Grado en Medicina Interna</w:t>
      </w:r>
    </w:p>
    <w:p w:rsidR="007B66D2" w:rsidRPr="007B66D2"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Profesor Auxiliar</w:t>
      </w:r>
    </w:p>
    <w:p w:rsidR="007B66D2" w:rsidRDefault="007B66D2" w:rsidP="00071204">
      <w:pPr>
        <w:spacing w:after="0" w:line="360" w:lineRule="auto"/>
        <w:jc w:val="both"/>
        <w:rPr>
          <w:rStyle w:val="Hipervnculo"/>
          <w:rFonts w:ascii="Arial" w:hAnsi="Arial" w:cs="Arial"/>
          <w:color w:val="auto"/>
          <w:sz w:val="24"/>
          <w:szCs w:val="24"/>
          <w:lang w:eastAsia="es-ES"/>
        </w:rPr>
      </w:pPr>
      <w:r w:rsidRPr="007B66D2">
        <w:rPr>
          <w:rFonts w:ascii="Arial" w:eastAsia="Times New Roman" w:hAnsi="Arial" w:cs="Arial"/>
          <w:b/>
          <w:bCs/>
          <w:sz w:val="24"/>
          <w:szCs w:val="24"/>
          <w:lang w:eastAsia="es-ES"/>
        </w:rPr>
        <w:t xml:space="preserve">ORCID: </w:t>
      </w:r>
      <w:hyperlink r:id="rId6" w:history="1">
        <w:r w:rsidRPr="007B66D2">
          <w:rPr>
            <w:rStyle w:val="Hipervnculo"/>
            <w:rFonts w:ascii="Arial" w:hAnsi="Arial" w:cs="Arial"/>
            <w:color w:val="auto"/>
            <w:sz w:val="24"/>
            <w:szCs w:val="24"/>
            <w:lang w:eastAsia="es-ES"/>
          </w:rPr>
          <w:t>https://orcid.org/0000-0003-3260-1356</w:t>
        </w:r>
      </w:hyperlink>
    </w:p>
    <w:p w:rsidR="005C6DF6" w:rsidRDefault="005C6DF6" w:rsidP="00071204">
      <w:pPr>
        <w:spacing w:after="0" w:line="360" w:lineRule="auto"/>
        <w:jc w:val="both"/>
        <w:rPr>
          <w:rStyle w:val="Hipervnculo"/>
          <w:rFonts w:ascii="Arial" w:hAnsi="Arial" w:cs="Arial"/>
          <w:color w:val="auto"/>
          <w:sz w:val="24"/>
          <w:szCs w:val="24"/>
          <w:lang w:eastAsia="es-ES"/>
        </w:rPr>
      </w:pPr>
      <w:r>
        <w:rPr>
          <w:rStyle w:val="Hipervnculo"/>
          <w:rFonts w:ascii="Arial" w:hAnsi="Arial" w:cs="Arial"/>
          <w:color w:val="auto"/>
          <w:sz w:val="24"/>
          <w:szCs w:val="24"/>
          <w:lang w:eastAsia="es-ES"/>
        </w:rPr>
        <w:t xml:space="preserve">Carlos L. López Fuentes.  </w:t>
      </w:r>
    </w:p>
    <w:p w:rsidR="007B66D2" w:rsidRPr="00A231EA" w:rsidRDefault="00BB457B" w:rsidP="00A231EA">
      <w:pPr>
        <w:spacing w:after="0" w:line="360" w:lineRule="auto"/>
        <w:jc w:val="both"/>
      </w:pPr>
      <w:r>
        <w:rPr>
          <w:rStyle w:val="Hipervnculo"/>
          <w:rFonts w:ascii="Arial" w:hAnsi="Arial" w:cs="Arial"/>
          <w:color w:val="auto"/>
          <w:sz w:val="24"/>
          <w:szCs w:val="24"/>
          <w:lang w:eastAsia="es-ES"/>
        </w:rPr>
        <w:t xml:space="preserve">Especialista de Primer Grado en Medicina  Interna </w:t>
      </w:r>
    </w:p>
    <w:p w:rsidR="007B66D2" w:rsidRPr="007B66D2"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w:t>
      </w:r>
      <w:r>
        <w:rPr>
          <w:rFonts w:ascii="Arial" w:eastAsia="Times New Roman" w:hAnsi="Arial" w:cs="Arial"/>
          <w:b/>
          <w:bCs/>
          <w:sz w:val="24"/>
          <w:szCs w:val="24"/>
          <w:lang w:eastAsia="es-ES"/>
        </w:rPr>
        <w:t>**</w:t>
      </w:r>
      <w:r w:rsidRPr="007B66D2">
        <w:rPr>
          <w:rFonts w:ascii="Arial" w:eastAsia="Times New Roman" w:hAnsi="Arial" w:cs="Arial"/>
          <w:b/>
          <w:bCs/>
          <w:sz w:val="24"/>
          <w:szCs w:val="24"/>
          <w:lang w:eastAsia="es-ES"/>
        </w:rPr>
        <w:t xml:space="preserve">Nathaliet Rodríguez </w:t>
      </w:r>
      <w:proofErr w:type="spellStart"/>
      <w:r w:rsidRPr="007B66D2">
        <w:rPr>
          <w:rFonts w:ascii="Arial" w:eastAsia="Times New Roman" w:hAnsi="Arial" w:cs="Arial"/>
          <w:b/>
          <w:bCs/>
          <w:sz w:val="24"/>
          <w:szCs w:val="24"/>
          <w:lang w:eastAsia="es-ES"/>
        </w:rPr>
        <w:t>Rodríguez</w:t>
      </w:r>
      <w:proofErr w:type="spellEnd"/>
    </w:p>
    <w:p w:rsidR="007B66D2" w:rsidRPr="007B66D2"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Especialista en Primer Grado en Medicina Interna</w:t>
      </w:r>
    </w:p>
    <w:p w:rsidR="007B66D2" w:rsidRPr="007B66D2" w:rsidRDefault="007B66D2" w:rsidP="00071204">
      <w:pPr>
        <w:spacing w:after="0" w:line="360" w:lineRule="auto"/>
        <w:jc w:val="both"/>
        <w:rPr>
          <w:rFonts w:ascii="Arial" w:eastAsia="Times New Roman" w:hAnsi="Arial" w:cs="Arial"/>
          <w:bCs/>
          <w:sz w:val="24"/>
          <w:szCs w:val="24"/>
          <w:lang w:eastAsia="es-ES"/>
        </w:rPr>
      </w:pPr>
      <w:r w:rsidRPr="007B66D2">
        <w:rPr>
          <w:rFonts w:ascii="Arial" w:eastAsia="Times New Roman" w:hAnsi="Arial" w:cs="Arial"/>
          <w:b/>
          <w:bCs/>
          <w:sz w:val="24"/>
          <w:szCs w:val="24"/>
          <w:lang w:eastAsia="es-ES"/>
        </w:rPr>
        <w:t>Profesor Instructor</w:t>
      </w:r>
    </w:p>
    <w:p w:rsidR="007B66D2" w:rsidRPr="002F41A8" w:rsidRDefault="007B66D2" w:rsidP="00071204">
      <w:pPr>
        <w:spacing w:after="0" w:line="360" w:lineRule="auto"/>
        <w:jc w:val="both"/>
      </w:pPr>
      <w:r w:rsidRPr="007B66D2">
        <w:rPr>
          <w:rFonts w:ascii="Arial" w:eastAsia="Times New Roman" w:hAnsi="Arial" w:cs="Arial"/>
          <w:b/>
          <w:bCs/>
          <w:sz w:val="24"/>
          <w:szCs w:val="24"/>
          <w:lang w:eastAsia="es-ES"/>
        </w:rPr>
        <w:t xml:space="preserve">ORCID: </w:t>
      </w:r>
      <w:hyperlink r:id="rId7" w:history="1">
        <w:r w:rsidRPr="007B66D2">
          <w:rPr>
            <w:rStyle w:val="Hipervnculo"/>
            <w:rFonts w:ascii="Arial" w:hAnsi="Arial" w:cs="Arial"/>
            <w:color w:val="auto"/>
            <w:sz w:val="24"/>
            <w:szCs w:val="24"/>
            <w:lang w:eastAsia="es-ES"/>
          </w:rPr>
          <w:t>https://orcid.org/0000-0001-8765-5226</w:t>
        </w:r>
      </w:hyperlink>
    </w:p>
    <w:p w:rsidR="007B66D2" w:rsidRPr="007B66D2" w:rsidRDefault="002F41A8" w:rsidP="00071204">
      <w:pPr>
        <w:spacing w:after="0" w:line="36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Depar</w:t>
      </w:r>
      <w:r w:rsidR="00365260">
        <w:rPr>
          <w:rFonts w:ascii="Arial" w:eastAsia="Times New Roman" w:hAnsi="Arial" w:cs="Arial"/>
          <w:bCs/>
          <w:sz w:val="24"/>
          <w:szCs w:val="24"/>
          <w:lang w:eastAsia="es-ES"/>
        </w:rPr>
        <w:t>tamento de Medicina Interna del</w:t>
      </w:r>
      <w:r w:rsidR="007B66D2" w:rsidRPr="007B66D2">
        <w:rPr>
          <w:rFonts w:ascii="Arial" w:eastAsia="Times New Roman" w:hAnsi="Arial" w:cs="Arial"/>
          <w:bCs/>
          <w:sz w:val="24"/>
          <w:szCs w:val="24"/>
          <w:lang w:eastAsia="es-ES"/>
        </w:rPr>
        <w:t xml:space="preserve"> Hospital Freyre de Andrade</w:t>
      </w:r>
    </w:p>
    <w:p w:rsidR="007B66D2" w:rsidRPr="007B66D2" w:rsidRDefault="007B66D2" w:rsidP="00071204">
      <w:pPr>
        <w:spacing w:after="0" w:line="360" w:lineRule="auto"/>
        <w:jc w:val="both"/>
        <w:rPr>
          <w:rFonts w:ascii="Arial" w:eastAsia="Times New Roman" w:hAnsi="Arial" w:cs="Arial"/>
          <w:bCs/>
          <w:sz w:val="24"/>
          <w:szCs w:val="24"/>
          <w:lang w:eastAsia="es-ES"/>
        </w:rPr>
      </w:pPr>
    </w:p>
    <w:p w:rsidR="007B66D2" w:rsidRPr="007B66D2" w:rsidRDefault="007B66D2" w:rsidP="00071204">
      <w:pPr>
        <w:spacing w:after="0" w:line="360" w:lineRule="auto"/>
        <w:jc w:val="both"/>
        <w:rPr>
          <w:rFonts w:ascii="Arial" w:eastAsia="Times New Roman" w:hAnsi="Arial" w:cs="Arial"/>
          <w:b/>
          <w:bCs/>
          <w:sz w:val="24"/>
          <w:szCs w:val="24"/>
          <w:lang w:eastAsia="es-ES"/>
        </w:rPr>
      </w:pPr>
      <w:r w:rsidRPr="007B66D2">
        <w:rPr>
          <w:rFonts w:ascii="Arial" w:eastAsia="Times New Roman" w:hAnsi="Arial" w:cs="Arial"/>
          <w:b/>
          <w:bCs/>
          <w:sz w:val="24"/>
          <w:szCs w:val="24"/>
          <w:lang w:eastAsia="es-ES"/>
        </w:rPr>
        <w:t>Roberto Gabriel Albín Cano (Autor para correspondencia y correo)</w:t>
      </w:r>
    </w:p>
    <w:p w:rsidR="007B66D2" w:rsidRPr="003D7F40" w:rsidRDefault="003A1C66" w:rsidP="00071204">
      <w:pPr>
        <w:spacing w:after="0" w:line="360" w:lineRule="auto"/>
        <w:jc w:val="both"/>
        <w:rPr>
          <w:rFonts w:ascii="Arial" w:eastAsia="Times New Roman" w:hAnsi="Arial" w:cs="Arial"/>
          <w:b/>
          <w:bCs/>
          <w:sz w:val="24"/>
          <w:szCs w:val="24"/>
          <w:lang w:val="en-US" w:eastAsia="es-ES"/>
        </w:rPr>
      </w:pPr>
      <w:hyperlink r:id="rId8" w:history="1">
        <w:r w:rsidR="009E5783" w:rsidRPr="001C1D6C">
          <w:rPr>
            <w:rStyle w:val="Hipervnculo"/>
            <w:rFonts w:ascii="Arial" w:hAnsi="Arial" w:cs="Arial"/>
            <w:color w:val="auto"/>
            <w:sz w:val="24"/>
            <w:szCs w:val="24"/>
            <w:lang w:val="en-US" w:eastAsia="es-ES"/>
          </w:rPr>
          <w:t>rgac@nauta.cu</w:t>
        </w:r>
      </w:hyperlink>
      <w:r w:rsidR="009E5783" w:rsidRPr="001C1D6C">
        <w:rPr>
          <w:rFonts w:ascii="Arial" w:hAnsi="Arial" w:cs="Arial"/>
          <w:sz w:val="24"/>
          <w:szCs w:val="24"/>
          <w:lang w:val="en-US" w:eastAsia="es-ES"/>
        </w:rPr>
        <w:t xml:space="preserve"> </w:t>
      </w:r>
    </w:p>
    <w:p w:rsidR="007B66D2" w:rsidRPr="003D7F40" w:rsidRDefault="009E5783" w:rsidP="00071204">
      <w:pPr>
        <w:spacing w:before="100" w:beforeAutospacing="1" w:after="100" w:afterAutospacing="1" w:line="360" w:lineRule="auto"/>
        <w:jc w:val="both"/>
        <w:rPr>
          <w:rFonts w:ascii="Arial" w:hAnsi="Arial" w:cs="Arial"/>
          <w:b/>
          <w:sz w:val="24"/>
          <w:szCs w:val="24"/>
          <w:lang w:val="en-US"/>
        </w:rPr>
      </w:pPr>
      <w:r w:rsidRPr="003D7F40">
        <w:rPr>
          <w:rFonts w:ascii="Arial" w:hAnsi="Arial" w:cs="Arial"/>
          <w:b/>
          <w:sz w:val="24"/>
          <w:szCs w:val="24"/>
          <w:lang w:val="en-US"/>
        </w:rPr>
        <w:t>Abstract</w:t>
      </w:r>
    </w:p>
    <w:p w:rsidR="003D7F40" w:rsidRPr="003D7F40" w:rsidRDefault="003D7F40" w:rsidP="003D7F40">
      <w:pPr>
        <w:spacing w:line="360" w:lineRule="auto"/>
        <w:jc w:val="both"/>
        <w:rPr>
          <w:rFonts w:ascii="Arial" w:hAnsi="Arial" w:cs="Arial"/>
          <w:bCs/>
          <w:sz w:val="24"/>
          <w:szCs w:val="24"/>
          <w:lang w:val="en-US"/>
        </w:rPr>
      </w:pPr>
      <w:r w:rsidRPr="003D7F40">
        <w:rPr>
          <w:rFonts w:ascii="Arial" w:hAnsi="Arial" w:cs="Arial"/>
          <w:bCs/>
          <w:sz w:val="24"/>
          <w:szCs w:val="24"/>
          <w:lang w:val="en-US"/>
        </w:rPr>
        <w:t>Introduction: the presence of the clinical sign of postural hypotension represents a premonition of evolution towards shock</w:t>
      </w:r>
      <w:r w:rsidR="001C1D6C" w:rsidRPr="001C1D6C">
        <w:rPr>
          <w:rFonts w:ascii="Arial" w:hAnsi="Arial" w:cs="Arial"/>
          <w:bCs/>
          <w:sz w:val="24"/>
          <w:szCs w:val="24"/>
          <w:lang w:val="en-US"/>
        </w:rPr>
        <w:t xml:space="preserve"> </w:t>
      </w:r>
      <w:r w:rsidR="001C1D6C">
        <w:rPr>
          <w:rFonts w:ascii="Arial" w:hAnsi="Arial" w:cs="Arial"/>
          <w:bCs/>
          <w:sz w:val="24"/>
          <w:szCs w:val="24"/>
          <w:lang w:val="en-US"/>
        </w:rPr>
        <w:t>i</w:t>
      </w:r>
      <w:r w:rsidR="001C1D6C" w:rsidRPr="003D7F40">
        <w:rPr>
          <w:rFonts w:ascii="Arial" w:hAnsi="Arial" w:cs="Arial"/>
          <w:bCs/>
          <w:sz w:val="24"/>
          <w:szCs w:val="24"/>
          <w:lang w:val="en-US"/>
        </w:rPr>
        <w:t xml:space="preserve">n patients with </w:t>
      </w:r>
      <w:r w:rsidR="001C1D6C">
        <w:rPr>
          <w:rFonts w:ascii="Arial" w:hAnsi="Arial" w:cs="Arial"/>
          <w:bCs/>
          <w:sz w:val="24"/>
          <w:szCs w:val="24"/>
          <w:lang w:val="en-US"/>
        </w:rPr>
        <w:t>D</w:t>
      </w:r>
      <w:r w:rsidR="001C1D6C" w:rsidRPr="003D7F40">
        <w:rPr>
          <w:rFonts w:ascii="Arial" w:hAnsi="Arial" w:cs="Arial"/>
          <w:bCs/>
          <w:sz w:val="24"/>
          <w:szCs w:val="24"/>
          <w:lang w:val="en-US"/>
        </w:rPr>
        <w:t>engue</w:t>
      </w:r>
      <w:r w:rsidR="001C1D6C">
        <w:rPr>
          <w:rFonts w:ascii="Arial" w:hAnsi="Arial" w:cs="Arial"/>
          <w:bCs/>
          <w:sz w:val="24"/>
          <w:szCs w:val="24"/>
          <w:lang w:val="en-US"/>
        </w:rPr>
        <w:t xml:space="preserve"> disease</w:t>
      </w:r>
      <w:r w:rsidRPr="003D7F40">
        <w:rPr>
          <w:rFonts w:ascii="Arial" w:hAnsi="Arial" w:cs="Arial"/>
          <w:bCs/>
          <w:sz w:val="24"/>
          <w:szCs w:val="24"/>
          <w:lang w:val="en-US"/>
        </w:rPr>
        <w:t xml:space="preserve">. Objective: </w:t>
      </w:r>
      <w:r w:rsidR="001C1D6C">
        <w:rPr>
          <w:rFonts w:ascii="Arial" w:hAnsi="Arial" w:cs="Arial"/>
          <w:bCs/>
          <w:sz w:val="24"/>
          <w:szCs w:val="24"/>
          <w:lang w:val="en-US"/>
        </w:rPr>
        <w:t>It`s t</w:t>
      </w:r>
      <w:r w:rsidRPr="003D7F40">
        <w:rPr>
          <w:rFonts w:ascii="Arial" w:hAnsi="Arial" w:cs="Arial"/>
          <w:bCs/>
          <w:sz w:val="24"/>
          <w:szCs w:val="24"/>
          <w:lang w:val="en-US"/>
        </w:rPr>
        <w:t xml:space="preserve">o identify the prognostic value of the clinical sign of </w:t>
      </w:r>
      <w:r w:rsidR="001C1D6C">
        <w:rPr>
          <w:rFonts w:ascii="Arial" w:hAnsi="Arial" w:cs="Arial"/>
          <w:bCs/>
          <w:sz w:val="24"/>
          <w:szCs w:val="24"/>
          <w:lang w:val="en-US"/>
        </w:rPr>
        <w:t>orthostatic</w:t>
      </w:r>
      <w:r w:rsidRPr="003D7F40">
        <w:rPr>
          <w:rFonts w:ascii="Arial" w:hAnsi="Arial" w:cs="Arial"/>
          <w:bCs/>
          <w:sz w:val="24"/>
          <w:szCs w:val="24"/>
          <w:lang w:val="en-US"/>
        </w:rPr>
        <w:t xml:space="preserve"> hypotension in a sample of patients affected by Dengue. Method: A prospective descriptive observational study was carried out that included 139 patients with a positive diagnosis of Dengue admitted to the Hospital </w:t>
      </w:r>
      <w:proofErr w:type="spellStart"/>
      <w:r w:rsidRPr="003D7F40">
        <w:rPr>
          <w:rFonts w:ascii="Arial" w:hAnsi="Arial" w:cs="Arial"/>
          <w:bCs/>
          <w:sz w:val="24"/>
          <w:szCs w:val="24"/>
          <w:lang w:val="en-US"/>
        </w:rPr>
        <w:t>Freyre</w:t>
      </w:r>
      <w:proofErr w:type="spellEnd"/>
      <w:r w:rsidRPr="003D7F40">
        <w:rPr>
          <w:rFonts w:ascii="Arial" w:hAnsi="Arial" w:cs="Arial"/>
          <w:bCs/>
          <w:sz w:val="24"/>
          <w:szCs w:val="24"/>
          <w:lang w:val="en-US"/>
        </w:rPr>
        <w:t xml:space="preserve"> de Andrade (HFA) in the period 2021-2022. Results: 24.5% of the patients had </w:t>
      </w:r>
      <w:r w:rsidR="001C1D6C">
        <w:rPr>
          <w:rFonts w:ascii="Arial" w:hAnsi="Arial" w:cs="Arial"/>
          <w:bCs/>
          <w:sz w:val="24"/>
          <w:szCs w:val="24"/>
          <w:lang w:val="en-US"/>
        </w:rPr>
        <w:t>orthostatic</w:t>
      </w:r>
      <w:r w:rsidRPr="003D7F40">
        <w:rPr>
          <w:rFonts w:ascii="Arial" w:hAnsi="Arial" w:cs="Arial"/>
          <w:bCs/>
          <w:sz w:val="24"/>
          <w:szCs w:val="24"/>
          <w:lang w:val="en-US"/>
        </w:rPr>
        <w:t xml:space="preserve"> hypotension. Ultrasound was useful in 6.5%, with </w:t>
      </w:r>
      <w:r w:rsidR="001C1D6C" w:rsidRPr="003D7F40">
        <w:rPr>
          <w:rFonts w:ascii="Arial" w:hAnsi="Arial" w:cs="Arial"/>
          <w:bCs/>
          <w:sz w:val="24"/>
          <w:szCs w:val="24"/>
          <w:lang w:val="en-US"/>
        </w:rPr>
        <w:t>per vesicular</w:t>
      </w:r>
      <w:r w:rsidRPr="003D7F40">
        <w:rPr>
          <w:rFonts w:ascii="Arial" w:hAnsi="Arial" w:cs="Arial"/>
          <w:bCs/>
          <w:sz w:val="24"/>
          <w:szCs w:val="24"/>
          <w:lang w:val="en-US"/>
        </w:rPr>
        <w:t xml:space="preserve"> edema as the main finding. Complications were present in 13.7%, </w:t>
      </w:r>
      <w:r w:rsidR="001C1D6C">
        <w:rPr>
          <w:rFonts w:ascii="Arial" w:hAnsi="Arial" w:cs="Arial"/>
          <w:bCs/>
          <w:sz w:val="24"/>
          <w:szCs w:val="24"/>
          <w:lang w:val="en-US"/>
        </w:rPr>
        <w:t>and</w:t>
      </w:r>
      <w:r w:rsidRPr="003D7F40">
        <w:rPr>
          <w:rFonts w:ascii="Arial" w:hAnsi="Arial" w:cs="Arial"/>
          <w:bCs/>
          <w:sz w:val="24"/>
          <w:szCs w:val="24"/>
          <w:lang w:val="en-US"/>
        </w:rPr>
        <w:t xml:space="preserve"> the most frequent was hemorrhage. </w:t>
      </w:r>
      <w:r w:rsidR="001C1D6C">
        <w:rPr>
          <w:rFonts w:ascii="Arial" w:hAnsi="Arial" w:cs="Arial"/>
          <w:bCs/>
          <w:sz w:val="24"/>
          <w:szCs w:val="24"/>
          <w:lang w:val="en-US"/>
        </w:rPr>
        <w:t>O</w:t>
      </w:r>
      <w:r w:rsidR="001C1D6C">
        <w:rPr>
          <w:rFonts w:ascii="Arial" w:hAnsi="Arial" w:cs="Arial"/>
          <w:bCs/>
          <w:sz w:val="24"/>
          <w:szCs w:val="24"/>
          <w:lang w:val="en-US"/>
        </w:rPr>
        <w:t>rthostatic</w:t>
      </w:r>
      <w:r w:rsidRPr="003D7F40">
        <w:rPr>
          <w:rFonts w:ascii="Arial" w:hAnsi="Arial" w:cs="Arial"/>
          <w:bCs/>
          <w:sz w:val="24"/>
          <w:szCs w:val="24"/>
          <w:lang w:val="en-US"/>
        </w:rPr>
        <w:t xml:space="preserve"> hypotension was significantly related to female gender (OR=2.78), age under 35 </w:t>
      </w:r>
      <w:r w:rsidRPr="003D7F40">
        <w:rPr>
          <w:rFonts w:ascii="Arial" w:hAnsi="Arial" w:cs="Arial"/>
          <w:bCs/>
          <w:sz w:val="24"/>
          <w:szCs w:val="24"/>
          <w:lang w:val="en-US"/>
        </w:rPr>
        <w:lastRenderedPageBreak/>
        <w:t xml:space="preserve">years (OR=2.52), retro-orbital pain (OR=2.43), abdominal pain </w:t>
      </w:r>
      <w:proofErr w:type="gramStart"/>
      <w:r w:rsidRPr="003D7F40">
        <w:rPr>
          <w:rFonts w:ascii="Arial" w:hAnsi="Arial" w:cs="Arial"/>
          <w:bCs/>
          <w:sz w:val="24"/>
          <w:szCs w:val="24"/>
          <w:lang w:val="en-US"/>
        </w:rPr>
        <w:t>( OR</w:t>
      </w:r>
      <w:proofErr w:type="gramEnd"/>
      <w:r w:rsidRPr="003D7F40">
        <w:rPr>
          <w:rFonts w:ascii="Arial" w:hAnsi="Arial" w:cs="Arial"/>
          <w:bCs/>
          <w:sz w:val="24"/>
          <w:szCs w:val="24"/>
          <w:lang w:val="en-US"/>
        </w:rPr>
        <w:t>=2.98), vomiting (OR=2.98), low platelet count (OR=3.02), presence of complications (OR=3.02), and positive abdominal ultrasound findings ( OR=3.10). Conclusions: It is concluded that the presence of</w:t>
      </w:r>
      <w:r w:rsidR="001C1D6C" w:rsidRPr="001C1D6C">
        <w:rPr>
          <w:rFonts w:ascii="Arial" w:hAnsi="Arial" w:cs="Arial"/>
          <w:bCs/>
          <w:sz w:val="24"/>
          <w:szCs w:val="24"/>
          <w:lang w:val="en-US"/>
        </w:rPr>
        <w:t xml:space="preserve"> </w:t>
      </w:r>
      <w:r w:rsidR="001C1D6C">
        <w:rPr>
          <w:rFonts w:ascii="Arial" w:hAnsi="Arial" w:cs="Arial"/>
          <w:bCs/>
          <w:sz w:val="24"/>
          <w:szCs w:val="24"/>
          <w:lang w:val="en-US"/>
        </w:rPr>
        <w:t>orthostatic</w:t>
      </w:r>
      <w:r w:rsidR="001C1D6C" w:rsidRPr="003D7F40">
        <w:rPr>
          <w:rFonts w:ascii="Arial" w:hAnsi="Arial" w:cs="Arial"/>
          <w:bCs/>
          <w:sz w:val="24"/>
          <w:szCs w:val="24"/>
          <w:lang w:val="en-US"/>
        </w:rPr>
        <w:t xml:space="preserve"> </w:t>
      </w:r>
      <w:r w:rsidRPr="003D7F40">
        <w:rPr>
          <w:rFonts w:ascii="Arial" w:hAnsi="Arial" w:cs="Arial"/>
          <w:bCs/>
          <w:sz w:val="24"/>
          <w:szCs w:val="24"/>
          <w:lang w:val="en-US"/>
        </w:rPr>
        <w:t>hypotension constitutes a prognostic marker of worse evolution in patients with dengue.</w:t>
      </w:r>
    </w:p>
    <w:p w:rsidR="007B66D2" w:rsidRDefault="003D7F40" w:rsidP="003D7F40">
      <w:pPr>
        <w:spacing w:line="360" w:lineRule="auto"/>
        <w:jc w:val="both"/>
        <w:rPr>
          <w:rFonts w:ascii="Arial" w:hAnsi="Arial" w:cs="Arial"/>
          <w:bCs/>
          <w:sz w:val="24"/>
          <w:szCs w:val="24"/>
          <w:lang w:val="es-ES"/>
        </w:rPr>
      </w:pPr>
      <w:bookmarkStart w:id="0" w:name="_GoBack"/>
      <w:bookmarkEnd w:id="0"/>
      <w:proofErr w:type="spellStart"/>
      <w:r w:rsidRPr="003D7F40">
        <w:rPr>
          <w:rFonts w:ascii="Arial" w:hAnsi="Arial" w:cs="Arial"/>
          <w:bCs/>
          <w:sz w:val="24"/>
          <w:szCs w:val="24"/>
          <w:lang w:val="es-ES"/>
        </w:rPr>
        <w:t>Keywords</w:t>
      </w:r>
      <w:proofErr w:type="spellEnd"/>
      <w:r w:rsidRPr="003D7F40">
        <w:rPr>
          <w:rFonts w:ascii="Arial" w:hAnsi="Arial" w:cs="Arial"/>
          <w:bCs/>
          <w:sz w:val="24"/>
          <w:szCs w:val="24"/>
          <w:lang w:val="es-ES"/>
        </w:rPr>
        <w:t xml:space="preserve">: Dengue, </w:t>
      </w:r>
      <w:proofErr w:type="spellStart"/>
      <w:r w:rsidRPr="003D7F40">
        <w:rPr>
          <w:rFonts w:ascii="Arial" w:hAnsi="Arial" w:cs="Arial"/>
          <w:bCs/>
          <w:sz w:val="24"/>
          <w:szCs w:val="24"/>
          <w:lang w:val="es-ES"/>
        </w:rPr>
        <w:t>Orthostatic</w:t>
      </w:r>
      <w:proofErr w:type="spellEnd"/>
      <w:r w:rsidRPr="003D7F40">
        <w:rPr>
          <w:rFonts w:ascii="Arial" w:hAnsi="Arial" w:cs="Arial"/>
          <w:bCs/>
          <w:sz w:val="24"/>
          <w:szCs w:val="24"/>
          <w:lang w:val="es-ES"/>
        </w:rPr>
        <w:t xml:space="preserve"> </w:t>
      </w:r>
      <w:proofErr w:type="spellStart"/>
      <w:r w:rsidRPr="003D7F40">
        <w:rPr>
          <w:rFonts w:ascii="Arial" w:hAnsi="Arial" w:cs="Arial"/>
          <w:bCs/>
          <w:sz w:val="24"/>
          <w:szCs w:val="24"/>
          <w:lang w:val="es-ES"/>
        </w:rPr>
        <w:t>Hypotension</w:t>
      </w:r>
      <w:proofErr w:type="spellEnd"/>
      <w:r w:rsidRPr="003D7F40">
        <w:rPr>
          <w:rFonts w:ascii="Arial" w:hAnsi="Arial" w:cs="Arial"/>
          <w:bCs/>
          <w:sz w:val="24"/>
          <w:szCs w:val="24"/>
          <w:lang w:val="es-ES"/>
        </w:rPr>
        <w:t>.</w:t>
      </w:r>
    </w:p>
    <w:p w:rsidR="003D7F40" w:rsidRDefault="003D7F40" w:rsidP="003D7F40">
      <w:pPr>
        <w:spacing w:line="360" w:lineRule="auto"/>
        <w:jc w:val="both"/>
        <w:rPr>
          <w:rFonts w:ascii="Arial" w:hAnsi="Arial" w:cs="Arial"/>
          <w:bCs/>
          <w:sz w:val="24"/>
          <w:szCs w:val="24"/>
          <w:lang w:val="es-ES"/>
        </w:rPr>
      </w:pPr>
      <w:r>
        <w:rPr>
          <w:rFonts w:ascii="Arial" w:hAnsi="Arial" w:cs="Arial"/>
          <w:bCs/>
          <w:sz w:val="24"/>
          <w:szCs w:val="24"/>
          <w:lang w:val="es-ES"/>
        </w:rPr>
        <w:t>Resumen:</w:t>
      </w:r>
    </w:p>
    <w:p w:rsidR="003D7F40" w:rsidRPr="003D7F40" w:rsidRDefault="003D7F40" w:rsidP="003D7F40">
      <w:pPr>
        <w:spacing w:line="360" w:lineRule="auto"/>
        <w:jc w:val="both"/>
        <w:rPr>
          <w:rFonts w:ascii="Arial" w:hAnsi="Arial" w:cs="Arial"/>
          <w:bCs/>
          <w:sz w:val="24"/>
          <w:szCs w:val="24"/>
          <w:lang w:val="es-ES"/>
        </w:rPr>
      </w:pPr>
      <w:r w:rsidRPr="003D7F40">
        <w:rPr>
          <w:rFonts w:ascii="Arial" w:hAnsi="Arial" w:cs="Arial"/>
          <w:bCs/>
          <w:sz w:val="24"/>
          <w:szCs w:val="24"/>
          <w:lang w:val="es-ES"/>
        </w:rPr>
        <w:t>Introducción: En pacientes con dengue, la presencia del signo clínico de hipotensión postural representa una premonición de evolución hacia el shock. Objetivo: Identificar el valor pronóstico del signo clínico de hipotensión postural en una muestra de pacientes afectados por Dengue. Método: Se realizó un estudio observacional descriptivo de corte prospectivo que incluyó 139 pacientes con diagnóstico positivo de Dengue ingresados en el Hospital Freyre de Andrade (HFA) en el período 2015-2017. Resultados: El 24,5% de los pacientes tuvo hipotensión postural. Las complicaciones estuvieron presentes en el 13,7%, de las cuales la más frecuente fue la hemorragia. La hipotensión postural se relacionó de manera significativa con el sexo femenino (OR=2,78),  la edad menor de 35 años (OR=2,52), el dolor retro orbitario (OR=2,43), el dolor abdominal (OR=2,98), los vómitos (OR=2,98), el conteo bajo de plaquetas (OR=3,02), la presencia de complicaciones (OR=3,02) y de hallazgos positivos en el ultrasonido abdominal (OR=3,10). Conclusiones: La presencia de hipotensión postural constituye un marcador pronóstico de peor evolución en pacientes con dengue.</w:t>
      </w:r>
    </w:p>
    <w:p w:rsidR="003D7F40" w:rsidRPr="003D7F40" w:rsidRDefault="003D7F40" w:rsidP="003D7F40">
      <w:pPr>
        <w:spacing w:line="360" w:lineRule="auto"/>
        <w:jc w:val="both"/>
        <w:rPr>
          <w:rFonts w:ascii="Arial" w:hAnsi="Arial" w:cs="Arial"/>
          <w:bCs/>
          <w:sz w:val="24"/>
          <w:szCs w:val="24"/>
          <w:lang w:val="es-ES"/>
        </w:rPr>
      </w:pPr>
    </w:p>
    <w:p w:rsidR="003D7F40" w:rsidRPr="003D7F40" w:rsidRDefault="003D7F40" w:rsidP="003D7F40">
      <w:pPr>
        <w:spacing w:line="360" w:lineRule="auto"/>
        <w:jc w:val="both"/>
        <w:rPr>
          <w:rFonts w:ascii="Arial" w:hAnsi="Arial" w:cs="Arial"/>
          <w:bCs/>
          <w:sz w:val="24"/>
          <w:szCs w:val="24"/>
          <w:lang w:val="es-ES"/>
        </w:rPr>
      </w:pPr>
      <w:r w:rsidRPr="003D7F40">
        <w:rPr>
          <w:rFonts w:ascii="Arial" w:hAnsi="Arial" w:cs="Arial"/>
          <w:bCs/>
          <w:sz w:val="24"/>
          <w:szCs w:val="24"/>
          <w:lang w:val="es-ES"/>
        </w:rPr>
        <w:t xml:space="preserve">Palabras clave: Dengue, Hipotensión </w:t>
      </w:r>
      <w:proofErr w:type="spellStart"/>
      <w:r w:rsidRPr="003D7F40">
        <w:rPr>
          <w:rFonts w:ascii="Arial" w:hAnsi="Arial" w:cs="Arial"/>
          <w:bCs/>
          <w:sz w:val="24"/>
          <w:szCs w:val="24"/>
          <w:lang w:val="es-ES"/>
        </w:rPr>
        <w:t>Ortostática</w:t>
      </w:r>
      <w:proofErr w:type="spellEnd"/>
    </w:p>
    <w:p w:rsidR="005978AB" w:rsidRPr="003D7F40" w:rsidRDefault="005978AB" w:rsidP="00071204">
      <w:pPr>
        <w:spacing w:line="360" w:lineRule="auto"/>
        <w:jc w:val="both"/>
        <w:rPr>
          <w:rFonts w:ascii="Arial" w:hAnsi="Arial" w:cs="Arial"/>
          <w:bCs/>
          <w:sz w:val="24"/>
          <w:szCs w:val="24"/>
          <w:lang w:val="es-ES"/>
        </w:rPr>
      </w:pPr>
    </w:p>
    <w:p w:rsidR="007B66D2" w:rsidRPr="007B66D2" w:rsidRDefault="007B66D2" w:rsidP="00071204">
      <w:pPr>
        <w:jc w:val="both"/>
        <w:rPr>
          <w:rFonts w:ascii="Arial" w:hAnsi="Arial" w:cs="Arial"/>
          <w:b/>
          <w:sz w:val="24"/>
          <w:szCs w:val="24"/>
          <w:lang w:val="es-ES"/>
        </w:rPr>
      </w:pPr>
      <w:r w:rsidRPr="007B66D2">
        <w:rPr>
          <w:rFonts w:ascii="Arial" w:hAnsi="Arial" w:cs="Arial"/>
          <w:b/>
          <w:sz w:val="24"/>
          <w:szCs w:val="24"/>
          <w:lang w:val="es-ES"/>
        </w:rPr>
        <w:t>Introducción</w:t>
      </w:r>
    </w:p>
    <w:p w:rsidR="001600B6" w:rsidRPr="001600B6" w:rsidRDefault="001600B6" w:rsidP="001600B6">
      <w:pPr>
        <w:spacing w:line="360" w:lineRule="auto"/>
        <w:jc w:val="both"/>
        <w:rPr>
          <w:rFonts w:ascii="Arial" w:hAnsi="Arial" w:cs="Arial"/>
          <w:sz w:val="24"/>
          <w:szCs w:val="24"/>
          <w:highlight w:val="yellow"/>
          <w:lang w:val="es-ES"/>
        </w:rPr>
      </w:pPr>
      <w:r w:rsidRPr="00563BCD">
        <w:rPr>
          <w:rFonts w:ascii="Arial" w:eastAsia="Times New Roman" w:hAnsi="Arial" w:cs="Arial"/>
          <w:sz w:val="24"/>
          <w:szCs w:val="24"/>
          <w:lang w:val="es-ES" w:eastAsia="es-ES"/>
        </w:rPr>
        <w:t xml:space="preserve">En la actualidad el dengue representa la enfermedad viral, trasmitida por artrópodos, de mayor significación en salud pública en términos de morbilidad y </w:t>
      </w:r>
      <w:r w:rsidRPr="001600B6">
        <w:rPr>
          <w:rFonts w:ascii="Arial" w:eastAsia="Times New Roman" w:hAnsi="Arial" w:cs="Arial"/>
          <w:sz w:val="24"/>
          <w:szCs w:val="24"/>
          <w:lang w:val="es-ES" w:eastAsia="es-ES"/>
        </w:rPr>
        <w:t>mortalidad.</w:t>
      </w:r>
      <w:r w:rsidRPr="001600B6">
        <w:rPr>
          <w:rFonts w:ascii="Arial" w:hAnsi="Arial" w:cs="Arial"/>
          <w:sz w:val="24"/>
          <w:szCs w:val="24"/>
          <w:vertAlign w:val="superscript"/>
          <w:lang w:val="es-ES"/>
        </w:rPr>
        <w:t xml:space="preserve"> 1</w:t>
      </w:r>
      <w:r>
        <w:rPr>
          <w:rFonts w:ascii="Arial" w:hAnsi="Arial" w:cs="Arial"/>
          <w:sz w:val="24"/>
          <w:szCs w:val="24"/>
          <w:vertAlign w:val="superscript"/>
          <w:lang w:val="es-ES"/>
        </w:rPr>
        <w:t xml:space="preserve"> </w:t>
      </w:r>
      <w:r w:rsidRPr="001600B6">
        <w:rPr>
          <w:rFonts w:ascii="Arial" w:eastAsia="Times New Roman" w:hAnsi="Arial" w:cs="Arial"/>
          <w:sz w:val="24"/>
          <w:szCs w:val="24"/>
          <w:lang w:val="es-ES" w:eastAsia="es-ES"/>
        </w:rPr>
        <w:t xml:space="preserve"> </w:t>
      </w:r>
      <w:r w:rsidRPr="00904154">
        <w:rPr>
          <w:rFonts w:ascii="Arial" w:eastAsia="Times New Roman" w:hAnsi="Arial" w:cs="Arial"/>
          <w:sz w:val="24"/>
          <w:szCs w:val="24"/>
          <w:lang w:val="es-ES" w:eastAsia="es-ES"/>
        </w:rPr>
        <w:t xml:space="preserve">Se </w:t>
      </w:r>
      <w:r w:rsidRPr="00904154">
        <w:rPr>
          <w:rFonts w:ascii="Arial" w:eastAsia="Times New Roman" w:hAnsi="Arial" w:cs="Arial"/>
          <w:sz w:val="24"/>
          <w:szCs w:val="24"/>
          <w:lang w:val="es-ES" w:eastAsia="es-ES"/>
        </w:rPr>
        <w:lastRenderedPageBreak/>
        <w:t>considera que la población mundial en riesgo de contraer dengue supera los 2000 millones de personas y es la décima causa de muerte debida a enfermedades infecciosas.</w:t>
      </w:r>
      <w:r w:rsidRPr="00904154">
        <w:rPr>
          <w:rFonts w:ascii="Arial" w:eastAsia="Times New Roman" w:hAnsi="Arial" w:cs="Arial"/>
          <w:b/>
          <w:sz w:val="24"/>
          <w:szCs w:val="24"/>
          <w:vertAlign w:val="superscript"/>
          <w:lang w:val="es-ES" w:eastAsia="es-ES"/>
        </w:rPr>
        <w:t xml:space="preserve"> </w:t>
      </w:r>
      <w:r w:rsidR="00F5471F">
        <w:rPr>
          <w:rFonts w:ascii="Arial" w:hAnsi="Arial" w:cs="Arial"/>
          <w:sz w:val="24"/>
          <w:szCs w:val="24"/>
          <w:vertAlign w:val="superscript"/>
          <w:lang w:val="es-ES"/>
        </w:rPr>
        <w:t>2</w:t>
      </w:r>
      <w:r>
        <w:rPr>
          <w:rFonts w:ascii="Arial" w:hAnsi="Arial" w:cs="Arial"/>
          <w:sz w:val="24"/>
          <w:szCs w:val="24"/>
          <w:vertAlign w:val="superscript"/>
          <w:lang w:val="es-ES"/>
        </w:rPr>
        <w:t>,</w:t>
      </w:r>
      <w:r w:rsidR="00F5471F">
        <w:rPr>
          <w:rFonts w:ascii="Arial" w:hAnsi="Arial" w:cs="Arial"/>
          <w:sz w:val="24"/>
          <w:szCs w:val="24"/>
          <w:vertAlign w:val="superscript"/>
          <w:lang w:val="es-ES"/>
        </w:rPr>
        <w:t>3</w:t>
      </w:r>
    </w:p>
    <w:p w:rsidR="00467390" w:rsidRDefault="001600B6" w:rsidP="00071204">
      <w:pPr>
        <w:spacing w:line="360" w:lineRule="auto"/>
        <w:jc w:val="both"/>
        <w:rPr>
          <w:rFonts w:ascii="Arial" w:hAnsi="Arial" w:cs="Arial"/>
          <w:sz w:val="24"/>
          <w:szCs w:val="24"/>
          <w:lang w:val="es-ES"/>
        </w:rPr>
      </w:pPr>
      <w:r w:rsidRPr="00563BCD">
        <w:rPr>
          <w:rFonts w:ascii="Arial" w:eastAsia="Times New Roman" w:hAnsi="Arial" w:cs="Arial"/>
          <w:sz w:val="24"/>
          <w:szCs w:val="24"/>
          <w:lang w:val="es-ES" w:eastAsia="es-ES"/>
        </w:rPr>
        <w:t xml:space="preserve">El espectro de la presentación clínica del dengue es muy amplio. La mayoría de los pacientes presenta un curso clínico leve, </w:t>
      </w:r>
      <w:proofErr w:type="spellStart"/>
      <w:r w:rsidRPr="00563BCD">
        <w:rPr>
          <w:rFonts w:ascii="Arial" w:eastAsia="Times New Roman" w:hAnsi="Arial" w:cs="Arial"/>
          <w:sz w:val="24"/>
          <w:szCs w:val="24"/>
          <w:lang w:val="es-ES" w:eastAsia="es-ES"/>
        </w:rPr>
        <w:t>autolimitado</w:t>
      </w:r>
      <w:proofErr w:type="spellEnd"/>
      <w:r w:rsidRPr="00563BCD">
        <w:rPr>
          <w:rFonts w:ascii="Arial" w:eastAsia="Times New Roman" w:hAnsi="Arial" w:cs="Arial"/>
          <w:sz w:val="24"/>
          <w:szCs w:val="24"/>
          <w:lang w:val="es-ES" w:eastAsia="es-ES"/>
        </w:rPr>
        <w:t>, pero un muy pequeño porcentaje desarrolla una forma severa caracterizada sobre to</w:t>
      </w:r>
      <w:r>
        <w:rPr>
          <w:rFonts w:ascii="Arial" w:eastAsia="Times New Roman" w:hAnsi="Arial" w:cs="Arial"/>
          <w:sz w:val="24"/>
          <w:szCs w:val="24"/>
          <w:lang w:val="es-ES" w:eastAsia="es-ES"/>
        </w:rPr>
        <w:t>do por extravasación de plasma,</w:t>
      </w:r>
      <w:r w:rsidRPr="00563BCD">
        <w:rPr>
          <w:rFonts w:ascii="Arial" w:eastAsia="Times New Roman" w:hAnsi="Arial" w:cs="Arial"/>
          <w:sz w:val="24"/>
          <w:szCs w:val="24"/>
          <w:lang w:val="es-ES" w:eastAsia="es-ES"/>
        </w:rPr>
        <w:t xml:space="preserve"> con o sin hemorragias.</w:t>
      </w:r>
      <w:r w:rsidR="001D7B39">
        <w:rPr>
          <w:rFonts w:ascii="Arial" w:hAnsi="Arial" w:cs="Arial"/>
          <w:sz w:val="24"/>
          <w:szCs w:val="24"/>
          <w:vertAlign w:val="superscript"/>
          <w:lang w:val="es-ES"/>
        </w:rPr>
        <w:t>4</w:t>
      </w:r>
      <w:r w:rsidRPr="001600B6">
        <w:rPr>
          <w:rFonts w:ascii="Arial" w:eastAsia="Times New Roman" w:hAnsi="Arial" w:cs="Arial"/>
          <w:sz w:val="24"/>
          <w:szCs w:val="24"/>
          <w:lang w:val="es-ES" w:eastAsia="es-ES"/>
        </w:rPr>
        <w:t xml:space="preserve"> </w:t>
      </w:r>
      <w:r w:rsidRPr="001600B6">
        <w:rPr>
          <w:rFonts w:ascii="Arial" w:hAnsi="Arial" w:cs="Arial"/>
          <w:sz w:val="24"/>
          <w:szCs w:val="24"/>
          <w:lang w:val="es-ES"/>
        </w:rPr>
        <w:t>Se deben pesquisar frecuentemente la aparición de signos de gravedad, para el manejo del paciente.</w:t>
      </w:r>
      <w:r w:rsidRPr="001600B6">
        <w:rPr>
          <w:rFonts w:ascii="Arial" w:hAnsi="Arial" w:cs="Arial"/>
          <w:sz w:val="24"/>
          <w:szCs w:val="24"/>
          <w:vertAlign w:val="superscript"/>
          <w:lang w:val="es-ES"/>
        </w:rPr>
        <w:t xml:space="preserve"> </w:t>
      </w:r>
      <w:r w:rsidR="001D7B39">
        <w:rPr>
          <w:rFonts w:ascii="Arial" w:hAnsi="Arial" w:cs="Arial"/>
          <w:sz w:val="24"/>
          <w:szCs w:val="24"/>
          <w:vertAlign w:val="superscript"/>
          <w:lang w:val="es-ES"/>
        </w:rPr>
        <w:t>5</w:t>
      </w:r>
      <w:r w:rsidR="00FC0318">
        <w:rPr>
          <w:rFonts w:ascii="Arial" w:hAnsi="Arial" w:cs="Arial"/>
          <w:sz w:val="24"/>
          <w:szCs w:val="24"/>
          <w:vertAlign w:val="superscript"/>
          <w:lang w:val="es-ES"/>
        </w:rPr>
        <w:t xml:space="preserve"> </w:t>
      </w:r>
      <w:r w:rsidR="00FC0318">
        <w:rPr>
          <w:rFonts w:ascii="Arial" w:hAnsi="Arial" w:cs="Arial"/>
          <w:sz w:val="24"/>
          <w:szCs w:val="24"/>
          <w:lang w:val="es-ES"/>
        </w:rPr>
        <w:t xml:space="preserve">El signo “hipotensión postural” cobra </w:t>
      </w:r>
      <w:r w:rsidR="00FC0318" w:rsidRPr="00563BCD">
        <w:rPr>
          <w:rFonts w:ascii="Arial" w:hAnsi="Arial" w:cs="Arial"/>
          <w:sz w:val="24"/>
          <w:szCs w:val="24"/>
          <w:lang w:val="es-ES"/>
        </w:rPr>
        <w:t>valor como predictor de una evolución tórpida</w:t>
      </w:r>
      <w:r w:rsidR="00FC0318">
        <w:rPr>
          <w:rFonts w:ascii="Arial" w:hAnsi="Arial" w:cs="Arial"/>
          <w:sz w:val="24"/>
          <w:szCs w:val="24"/>
          <w:lang w:val="es-ES"/>
        </w:rPr>
        <w:t>.</w:t>
      </w:r>
    </w:p>
    <w:p w:rsidR="003030A6" w:rsidRDefault="00FC0318" w:rsidP="003030A6">
      <w:pPr>
        <w:spacing w:line="360" w:lineRule="auto"/>
        <w:jc w:val="both"/>
        <w:rPr>
          <w:rFonts w:ascii="Arial" w:hAnsi="Arial" w:cs="Arial"/>
          <w:sz w:val="24"/>
          <w:szCs w:val="24"/>
          <w:vertAlign w:val="superscript"/>
          <w:lang w:val="es-ES"/>
        </w:rPr>
      </w:pPr>
      <w:r>
        <w:rPr>
          <w:rFonts w:ascii="Arial" w:hAnsi="Arial" w:cs="Arial"/>
          <w:sz w:val="24"/>
          <w:szCs w:val="24"/>
          <w:lang w:val="es-ES"/>
        </w:rPr>
        <w:t xml:space="preserve">La hipotensión </w:t>
      </w:r>
      <w:proofErr w:type="spellStart"/>
      <w:r>
        <w:rPr>
          <w:rFonts w:ascii="Arial" w:hAnsi="Arial" w:cs="Arial"/>
          <w:sz w:val="24"/>
          <w:szCs w:val="24"/>
          <w:lang w:val="es-ES"/>
        </w:rPr>
        <w:t>ortostática</w:t>
      </w:r>
      <w:proofErr w:type="spellEnd"/>
      <w:r w:rsidR="00E443E6">
        <w:rPr>
          <w:rFonts w:ascii="Arial" w:hAnsi="Arial" w:cs="Arial"/>
          <w:sz w:val="24"/>
          <w:szCs w:val="24"/>
          <w:lang w:val="es-ES"/>
        </w:rPr>
        <w:t xml:space="preserve"> (HO) es</w:t>
      </w:r>
      <w:r>
        <w:rPr>
          <w:rFonts w:ascii="Arial" w:hAnsi="Arial" w:cs="Arial"/>
          <w:sz w:val="24"/>
          <w:szCs w:val="24"/>
          <w:lang w:val="es-ES"/>
        </w:rPr>
        <w:t xml:space="preserve"> </w:t>
      </w:r>
      <w:r w:rsidR="00E443E6" w:rsidRPr="007B2E9E">
        <w:rPr>
          <w:rFonts w:ascii="Arial" w:eastAsia="Times New Roman" w:hAnsi="Arial" w:cs="Arial"/>
          <w:bCs/>
          <w:sz w:val="24"/>
          <w:szCs w:val="24"/>
          <w:lang w:val="es-ES" w:eastAsia="es-ES"/>
        </w:rPr>
        <w:t>la disminución de la pres</w:t>
      </w:r>
      <w:r w:rsidR="00E443E6">
        <w:rPr>
          <w:rFonts w:ascii="Arial" w:eastAsia="Times New Roman" w:hAnsi="Arial" w:cs="Arial"/>
          <w:bCs/>
          <w:sz w:val="24"/>
          <w:szCs w:val="24"/>
          <w:lang w:val="es-ES" w:eastAsia="es-ES"/>
        </w:rPr>
        <w:t xml:space="preserve">ión arterial sistólica (PAS) en </w:t>
      </w:r>
      <w:r w:rsidR="00E443E6" w:rsidRPr="007B2E9E">
        <w:rPr>
          <w:rFonts w:ascii="Arial" w:eastAsia="Times New Roman" w:hAnsi="Arial" w:cs="Arial"/>
          <w:bCs/>
          <w:sz w:val="24"/>
          <w:szCs w:val="24"/>
          <w:lang w:val="es-ES" w:eastAsia="es-ES"/>
        </w:rPr>
        <w:t>al menos 20 milímetros de mercurio (</w:t>
      </w:r>
      <w:proofErr w:type="spellStart"/>
      <w:r w:rsidR="00E443E6" w:rsidRPr="007B2E9E">
        <w:rPr>
          <w:rFonts w:ascii="Arial" w:eastAsia="Times New Roman" w:hAnsi="Arial" w:cs="Arial"/>
          <w:bCs/>
          <w:sz w:val="24"/>
          <w:szCs w:val="24"/>
          <w:lang w:val="es-ES" w:eastAsia="es-ES"/>
        </w:rPr>
        <w:t>mmHg</w:t>
      </w:r>
      <w:proofErr w:type="spellEnd"/>
      <w:r w:rsidR="00E443E6" w:rsidRPr="007B2E9E">
        <w:rPr>
          <w:rFonts w:ascii="Arial" w:eastAsia="Times New Roman" w:hAnsi="Arial" w:cs="Arial"/>
          <w:bCs/>
          <w:sz w:val="24"/>
          <w:szCs w:val="24"/>
          <w:lang w:val="es-ES" w:eastAsia="es-ES"/>
        </w:rPr>
        <w:t>), o a la dis</w:t>
      </w:r>
      <w:r w:rsidR="00E443E6">
        <w:rPr>
          <w:rFonts w:ascii="Arial" w:eastAsia="Times New Roman" w:hAnsi="Arial" w:cs="Arial"/>
          <w:bCs/>
          <w:sz w:val="24"/>
          <w:szCs w:val="24"/>
          <w:lang w:val="es-ES" w:eastAsia="es-ES"/>
        </w:rPr>
        <w:t xml:space="preserve">minución de la presión arterial </w:t>
      </w:r>
      <w:r w:rsidR="00E443E6" w:rsidRPr="007B2E9E">
        <w:rPr>
          <w:rFonts w:ascii="Arial" w:eastAsia="Times New Roman" w:hAnsi="Arial" w:cs="Arial"/>
          <w:bCs/>
          <w:sz w:val="24"/>
          <w:szCs w:val="24"/>
          <w:lang w:val="es-ES" w:eastAsia="es-ES"/>
        </w:rPr>
        <w:t xml:space="preserve">diastólica (PAD) en al menos 10 </w:t>
      </w:r>
      <w:proofErr w:type="spellStart"/>
      <w:r w:rsidR="00E443E6" w:rsidRPr="007B2E9E">
        <w:rPr>
          <w:rFonts w:ascii="Arial" w:eastAsia="Times New Roman" w:hAnsi="Arial" w:cs="Arial"/>
          <w:bCs/>
          <w:sz w:val="24"/>
          <w:szCs w:val="24"/>
          <w:lang w:val="es-ES" w:eastAsia="es-ES"/>
        </w:rPr>
        <w:t>mmHg</w:t>
      </w:r>
      <w:proofErr w:type="spellEnd"/>
      <w:r w:rsidR="00E443E6" w:rsidRPr="007B2E9E">
        <w:rPr>
          <w:rFonts w:ascii="Arial" w:eastAsia="Times New Roman" w:hAnsi="Arial" w:cs="Arial"/>
          <w:bCs/>
          <w:sz w:val="24"/>
          <w:szCs w:val="24"/>
          <w:lang w:val="es-ES" w:eastAsia="es-ES"/>
        </w:rPr>
        <w:t>, a lo lar</w:t>
      </w:r>
      <w:r w:rsidR="00E443E6">
        <w:rPr>
          <w:rFonts w:ascii="Arial" w:eastAsia="Times New Roman" w:hAnsi="Arial" w:cs="Arial"/>
          <w:bCs/>
          <w:sz w:val="24"/>
          <w:szCs w:val="24"/>
          <w:lang w:val="es-ES" w:eastAsia="es-ES"/>
        </w:rPr>
        <w:t xml:space="preserve">go de los tres primeros minutos en </w:t>
      </w:r>
      <w:r w:rsidR="00E443E6" w:rsidRPr="007B2E9E">
        <w:rPr>
          <w:rFonts w:ascii="Arial" w:eastAsia="Times New Roman" w:hAnsi="Arial" w:cs="Arial"/>
          <w:bCs/>
          <w:sz w:val="24"/>
          <w:szCs w:val="24"/>
          <w:lang w:val="es-ES" w:eastAsia="es-ES"/>
        </w:rPr>
        <w:t xml:space="preserve">bipedestación. También se acepta como alternativa el uso </w:t>
      </w:r>
      <w:r w:rsidR="00E443E6">
        <w:rPr>
          <w:rFonts w:ascii="Arial" w:eastAsia="Times New Roman" w:hAnsi="Arial" w:cs="Arial"/>
          <w:bCs/>
          <w:sz w:val="24"/>
          <w:szCs w:val="24"/>
          <w:lang w:val="es-ES" w:eastAsia="es-ES"/>
        </w:rPr>
        <w:t xml:space="preserve">de la mesa basculante con un </w:t>
      </w:r>
      <w:r w:rsidR="00E443E6" w:rsidRPr="007B2E9E">
        <w:rPr>
          <w:rFonts w:ascii="Arial" w:eastAsia="Times New Roman" w:hAnsi="Arial" w:cs="Arial"/>
          <w:bCs/>
          <w:sz w:val="24"/>
          <w:szCs w:val="24"/>
          <w:lang w:val="es-ES" w:eastAsia="es-ES"/>
        </w:rPr>
        <w:t xml:space="preserve">ángulo de al </w:t>
      </w:r>
      <w:r w:rsidR="00E443E6">
        <w:rPr>
          <w:rFonts w:ascii="Arial" w:eastAsia="Times New Roman" w:hAnsi="Arial" w:cs="Arial"/>
          <w:bCs/>
          <w:sz w:val="24"/>
          <w:szCs w:val="24"/>
          <w:lang w:val="es-ES" w:eastAsia="es-ES"/>
        </w:rPr>
        <w:t>menos sesenta grados de inclinación.</w:t>
      </w:r>
      <w:r w:rsidR="00E443E6" w:rsidRPr="00E443E6">
        <w:rPr>
          <w:rFonts w:ascii="Arial" w:hAnsi="Arial" w:cs="Arial"/>
          <w:sz w:val="24"/>
          <w:szCs w:val="24"/>
          <w:vertAlign w:val="superscript"/>
          <w:lang w:val="es-ES"/>
        </w:rPr>
        <w:t xml:space="preserve"> </w:t>
      </w:r>
      <w:r w:rsidR="001D7B39">
        <w:rPr>
          <w:rFonts w:ascii="Arial" w:hAnsi="Arial" w:cs="Arial"/>
          <w:sz w:val="24"/>
          <w:szCs w:val="24"/>
          <w:vertAlign w:val="superscript"/>
          <w:lang w:val="es-ES"/>
        </w:rPr>
        <w:t>6</w:t>
      </w:r>
    </w:p>
    <w:p w:rsidR="003030A6" w:rsidRPr="003030A6" w:rsidRDefault="003030A6" w:rsidP="003030A6">
      <w:pPr>
        <w:spacing w:line="360" w:lineRule="auto"/>
        <w:jc w:val="both"/>
        <w:rPr>
          <w:rFonts w:ascii="Arial" w:hAnsi="Arial" w:cs="Arial"/>
          <w:sz w:val="24"/>
          <w:szCs w:val="24"/>
          <w:vertAlign w:val="superscript"/>
          <w:lang w:val="es-ES"/>
        </w:rPr>
      </w:pPr>
      <w:r w:rsidRPr="003030A6">
        <w:rPr>
          <w:rFonts w:ascii="Arial" w:hAnsi="Arial" w:cs="Arial"/>
          <w:sz w:val="24"/>
          <w:szCs w:val="24"/>
          <w:lang w:val="es-ES"/>
        </w:rPr>
        <w:t>La</w:t>
      </w:r>
      <w:r>
        <w:rPr>
          <w:rFonts w:ascii="Arial" w:hAnsi="Arial" w:cs="Arial"/>
          <w:sz w:val="24"/>
          <w:szCs w:val="24"/>
          <w:lang w:val="es-ES"/>
        </w:rPr>
        <w:t xml:space="preserve"> </w:t>
      </w:r>
      <w:r w:rsidRPr="00563BCD">
        <w:rPr>
          <w:rFonts w:ascii="Arial" w:eastAsia="Times New Roman" w:hAnsi="Arial" w:cs="Arial"/>
          <w:bCs/>
          <w:sz w:val="24"/>
          <w:szCs w:val="24"/>
          <w:lang w:val="es-ES" w:eastAsia="es-ES"/>
        </w:rPr>
        <w:t xml:space="preserve">identificación de los signos de alarma permite el </w:t>
      </w:r>
      <w:r w:rsidR="00420D72">
        <w:rPr>
          <w:rFonts w:ascii="Arial" w:eastAsia="Times New Roman" w:hAnsi="Arial" w:cs="Arial"/>
          <w:bCs/>
          <w:sz w:val="24"/>
          <w:szCs w:val="24"/>
          <w:lang w:val="es-ES" w:eastAsia="es-ES"/>
        </w:rPr>
        <w:t xml:space="preserve">inicio precoz de la hidratación </w:t>
      </w:r>
      <w:r w:rsidRPr="00563BCD">
        <w:rPr>
          <w:rFonts w:ascii="Arial" w:eastAsia="Times New Roman" w:hAnsi="Arial" w:cs="Arial"/>
          <w:bCs/>
          <w:sz w:val="24"/>
          <w:szCs w:val="24"/>
          <w:lang w:val="es-ES" w:eastAsia="es-ES"/>
        </w:rPr>
        <w:t xml:space="preserve">intravenosa, previniendo la aparición </w:t>
      </w:r>
      <w:r w:rsidRPr="00B1494B">
        <w:rPr>
          <w:rFonts w:ascii="Arial" w:eastAsia="Times New Roman" w:hAnsi="Arial" w:cs="Arial"/>
          <w:bCs/>
          <w:sz w:val="24"/>
          <w:szCs w:val="24"/>
          <w:lang w:val="es-ES" w:eastAsia="es-ES"/>
        </w:rPr>
        <w:t xml:space="preserve">del </w:t>
      </w:r>
      <w:r w:rsidRPr="00B1494B">
        <w:rPr>
          <w:rFonts w:ascii="Arial" w:eastAsia="Times New Roman" w:hAnsi="Arial" w:cs="Arial"/>
          <w:bCs/>
          <w:i/>
          <w:sz w:val="24"/>
          <w:szCs w:val="24"/>
          <w:lang w:val="es-ES" w:eastAsia="es-ES"/>
        </w:rPr>
        <w:t>shock</w:t>
      </w:r>
      <w:r w:rsidRPr="00B1494B">
        <w:rPr>
          <w:rFonts w:ascii="Arial" w:eastAsia="Times New Roman" w:hAnsi="Arial" w:cs="Arial"/>
          <w:bCs/>
          <w:sz w:val="24"/>
          <w:szCs w:val="24"/>
          <w:lang w:val="es-ES" w:eastAsia="es-ES"/>
        </w:rPr>
        <w:t xml:space="preserve"> y</w:t>
      </w:r>
      <w:r w:rsidR="00420D72">
        <w:rPr>
          <w:rFonts w:ascii="Arial" w:eastAsia="Times New Roman" w:hAnsi="Arial" w:cs="Arial"/>
          <w:bCs/>
          <w:sz w:val="24"/>
          <w:szCs w:val="24"/>
          <w:lang w:val="es-ES" w:eastAsia="es-ES"/>
        </w:rPr>
        <w:t xml:space="preserve"> así, la disminución de la </w:t>
      </w:r>
      <w:r w:rsidRPr="00563BCD">
        <w:rPr>
          <w:rFonts w:ascii="Arial" w:eastAsia="Times New Roman" w:hAnsi="Arial" w:cs="Arial"/>
          <w:bCs/>
          <w:sz w:val="24"/>
          <w:szCs w:val="24"/>
          <w:lang w:val="es-ES" w:eastAsia="es-ES"/>
        </w:rPr>
        <w:t>mortalidad</w:t>
      </w:r>
      <w:r>
        <w:rPr>
          <w:rFonts w:ascii="Arial" w:eastAsia="Times New Roman" w:hAnsi="Arial" w:cs="Arial"/>
          <w:bCs/>
          <w:sz w:val="24"/>
          <w:szCs w:val="24"/>
          <w:lang w:val="es-ES" w:eastAsia="es-ES"/>
        </w:rPr>
        <w:t>.</w:t>
      </w:r>
      <w:r w:rsidRPr="003030A6">
        <w:rPr>
          <w:rFonts w:ascii="Arial" w:hAnsi="Arial" w:cs="Arial"/>
          <w:sz w:val="24"/>
          <w:szCs w:val="24"/>
          <w:vertAlign w:val="superscript"/>
          <w:lang w:val="es-ES"/>
        </w:rPr>
        <w:t xml:space="preserve"> </w:t>
      </w:r>
      <w:r w:rsidRPr="00563BCD">
        <w:rPr>
          <w:rFonts w:ascii="Arial" w:eastAsia="Times New Roman" w:hAnsi="Arial" w:cs="Arial"/>
          <w:sz w:val="24"/>
          <w:szCs w:val="24"/>
          <w:lang w:val="es-ES" w:eastAsia="es-ES"/>
        </w:rPr>
        <w:t>La mortalidad de pacientes con dengue grave</w:t>
      </w:r>
      <w:r w:rsidR="009A7D9D">
        <w:rPr>
          <w:rFonts w:ascii="Arial" w:eastAsia="Times New Roman" w:hAnsi="Arial" w:cs="Arial"/>
          <w:sz w:val="24"/>
          <w:szCs w:val="24"/>
          <w:lang w:val="es-ES" w:eastAsia="es-ES"/>
        </w:rPr>
        <w:t>,</w:t>
      </w:r>
      <w:r w:rsidRPr="00563BCD">
        <w:rPr>
          <w:rFonts w:ascii="Arial" w:eastAsia="Times New Roman" w:hAnsi="Arial" w:cs="Arial"/>
          <w:sz w:val="24"/>
          <w:szCs w:val="24"/>
          <w:lang w:val="es-ES" w:eastAsia="es-ES"/>
        </w:rPr>
        <w:t xml:space="preserve"> es de 30 a 50% en casos donde no se llega al diagnóstico, bajando a alrededor de 1% si se efectúan el diagnó</w:t>
      </w:r>
      <w:r w:rsidR="00420D72">
        <w:rPr>
          <w:rFonts w:ascii="Arial" w:eastAsia="Times New Roman" w:hAnsi="Arial" w:cs="Arial"/>
          <w:sz w:val="24"/>
          <w:szCs w:val="24"/>
          <w:lang w:val="es-ES" w:eastAsia="es-ES"/>
        </w:rPr>
        <w:t>stico y el tratamiento adecuado</w:t>
      </w:r>
      <w:r w:rsidRPr="00563BCD">
        <w:rPr>
          <w:rFonts w:ascii="Arial" w:eastAsia="Times New Roman" w:hAnsi="Arial" w:cs="Arial"/>
          <w:sz w:val="24"/>
          <w:szCs w:val="24"/>
          <w:lang w:val="es-ES" w:eastAsia="es-ES"/>
        </w:rPr>
        <w:t xml:space="preserve">. </w:t>
      </w:r>
      <w:r w:rsidR="001D7B39">
        <w:rPr>
          <w:rFonts w:ascii="Arial" w:hAnsi="Arial" w:cs="Arial"/>
          <w:sz w:val="24"/>
          <w:szCs w:val="24"/>
          <w:vertAlign w:val="superscript"/>
          <w:lang w:val="es-ES"/>
        </w:rPr>
        <w:t>7</w:t>
      </w:r>
    </w:p>
    <w:p w:rsidR="006D5A67" w:rsidRPr="009A7D9D" w:rsidRDefault="007B66D2" w:rsidP="00071204">
      <w:pPr>
        <w:spacing w:line="360" w:lineRule="auto"/>
        <w:jc w:val="both"/>
        <w:rPr>
          <w:rFonts w:ascii="Arial" w:hAnsi="Arial" w:cs="Arial"/>
          <w:sz w:val="24"/>
          <w:szCs w:val="24"/>
          <w:lang w:val="es-CO"/>
        </w:rPr>
      </w:pPr>
      <w:r w:rsidRPr="009A7D9D">
        <w:rPr>
          <w:rFonts w:ascii="Arial" w:hAnsi="Arial" w:cs="Arial"/>
          <w:sz w:val="24"/>
          <w:szCs w:val="24"/>
          <w:lang w:val="es-CO"/>
        </w:rPr>
        <w:t xml:space="preserve">Después de revisar bases de datos cubanas y extranjeras de significancia como </w:t>
      </w:r>
      <w:proofErr w:type="spellStart"/>
      <w:r w:rsidRPr="009A7D9D">
        <w:rPr>
          <w:rFonts w:ascii="Arial" w:hAnsi="Arial" w:cs="Arial"/>
          <w:sz w:val="24"/>
          <w:szCs w:val="24"/>
          <w:lang w:val="es-CO"/>
        </w:rPr>
        <w:t>Ecimed</w:t>
      </w:r>
      <w:proofErr w:type="spellEnd"/>
      <w:r w:rsidRPr="009A7D9D">
        <w:rPr>
          <w:rFonts w:ascii="Arial" w:hAnsi="Arial" w:cs="Arial"/>
          <w:sz w:val="24"/>
          <w:szCs w:val="24"/>
          <w:lang w:val="es-CO"/>
        </w:rPr>
        <w:t xml:space="preserve">, BVS, </w:t>
      </w:r>
      <w:proofErr w:type="spellStart"/>
      <w:r w:rsidRPr="009A7D9D">
        <w:rPr>
          <w:rFonts w:ascii="Arial" w:hAnsi="Arial" w:cs="Arial"/>
          <w:sz w:val="24"/>
          <w:szCs w:val="24"/>
          <w:lang w:val="es-CO"/>
        </w:rPr>
        <w:t>Scielo</w:t>
      </w:r>
      <w:proofErr w:type="spellEnd"/>
      <w:r w:rsidRPr="009A7D9D">
        <w:rPr>
          <w:rFonts w:ascii="Arial" w:hAnsi="Arial" w:cs="Arial"/>
          <w:sz w:val="24"/>
          <w:szCs w:val="24"/>
          <w:lang w:val="es-CO"/>
        </w:rPr>
        <w:t xml:space="preserve">, </w:t>
      </w:r>
      <w:proofErr w:type="spellStart"/>
      <w:r w:rsidRPr="009A7D9D">
        <w:rPr>
          <w:rFonts w:ascii="Arial" w:hAnsi="Arial" w:cs="Arial"/>
          <w:sz w:val="24"/>
          <w:szCs w:val="24"/>
          <w:lang w:val="es-CO"/>
        </w:rPr>
        <w:t>Pubmed</w:t>
      </w:r>
      <w:proofErr w:type="spellEnd"/>
      <w:r w:rsidRPr="009A7D9D">
        <w:rPr>
          <w:rFonts w:ascii="Arial" w:hAnsi="Arial" w:cs="Arial"/>
          <w:sz w:val="24"/>
          <w:szCs w:val="24"/>
          <w:lang w:val="es-CO"/>
        </w:rPr>
        <w:t xml:space="preserve">, </w:t>
      </w:r>
      <w:proofErr w:type="spellStart"/>
      <w:r w:rsidRPr="009A7D9D">
        <w:rPr>
          <w:rFonts w:ascii="Arial" w:hAnsi="Arial" w:cs="Arial"/>
          <w:sz w:val="24"/>
          <w:szCs w:val="24"/>
          <w:lang w:val="es-CO"/>
        </w:rPr>
        <w:t>Hinari</w:t>
      </w:r>
      <w:proofErr w:type="spellEnd"/>
      <w:r w:rsidRPr="009A7D9D">
        <w:rPr>
          <w:rFonts w:ascii="Arial" w:hAnsi="Arial" w:cs="Arial"/>
          <w:sz w:val="24"/>
          <w:szCs w:val="24"/>
          <w:lang w:val="es-CO"/>
        </w:rPr>
        <w:t xml:space="preserve"> y </w:t>
      </w:r>
      <w:proofErr w:type="spellStart"/>
      <w:r w:rsidRPr="009A7D9D">
        <w:rPr>
          <w:rFonts w:ascii="Arial" w:hAnsi="Arial" w:cs="Arial"/>
          <w:sz w:val="24"/>
          <w:szCs w:val="24"/>
          <w:lang w:val="es-CO"/>
        </w:rPr>
        <w:t>Scopus</w:t>
      </w:r>
      <w:proofErr w:type="spellEnd"/>
      <w:r w:rsidRPr="009A7D9D">
        <w:rPr>
          <w:rFonts w:ascii="Arial" w:hAnsi="Arial" w:cs="Arial"/>
          <w:sz w:val="24"/>
          <w:szCs w:val="24"/>
          <w:lang w:val="es-CO"/>
        </w:rPr>
        <w:t xml:space="preserve">, los autores de esta investigación no pudimos encontrar en nuestro país investigaciones </w:t>
      </w:r>
      <w:r w:rsidR="00B1494B" w:rsidRPr="009A7D9D">
        <w:rPr>
          <w:rFonts w:ascii="Arial" w:hAnsi="Arial" w:cs="Arial"/>
          <w:sz w:val="24"/>
          <w:szCs w:val="24"/>
          <w:lang w:val="es-CO"/>
        </w:rPr>
        <w:t>que correlacionen la hipotensión postural a complicaciones graves</w:t>
      </w:r>
      <w:r w:rsidR="00420D72">
        <w:rPr>
          <w:rFonts w:ascii="Arial" w:hAnsi="Arial" w:cs="Arial"/>
          <w:sz w:val="24"/>
          <w:szCs w:val="24"/>
          <w:lang w:val="es-CO"/>
        </w:rPr>
        <w:t>,</w:t>
      </w:r>
      <w:r w:rsidR="00B1494B" w:rsidRPr="009A7D9D">
        <w:rPr>
          <w:rFonts w:ascii="Arial" w:hAnsi="Arial" w:cs="Arial"/>
          <w:sz w:val="24"/>
          <w:szCs w:val="24"/>
          <w:lang w:val="es-CO"/>
        </w:rPr>
        <w:t xml:space="preserve"> </w:t>
      </w:r>
      <w:r w:rsidR="00967F3F" w:rsidRPr="009A7D9D">
        <w:rPr>
          <w:rFonts w:ascii="Arial" w:hAnsi="Arial" w:cs="Arial"/>
          <w:sz w:val="24"/>
          <w:szCs w:val="24"/>
          <w:lang w:val="es-CO"/>
        </w:rPr>
        <w:t xml:space="preserve">desconociéndose su impacto en la mortalidad. </w:t>
      </w:r>
    </w:p>
    <w:p w:rsidR="006D5A67" w:rsidRDefault="006D5A67" w:rsidP="00071204">
      <w:pPr>
        <w:spacing w:line="360" w:lineRule="auto"/>
        <w:jc w:val="both"/>
        <w:rPr>
          <w:rFonts w:ascii="Arial" w:hAnsi="Arial" w:cs="Arial"/>
          <w:sz w:val="24"/>
          <w:szCs w:val="24"/>
          <w:highlight w:val="yellow"/>
          <w:lang w:val="es-CO"/>
        </w:rPr>
      </w:pPr>
    </w:p>
    <w:p w:rsidR="00BC5F7B" w:rsidRDefault="009A7D9D" w:rsidP="00BC5F7B">
      <w:pPr>
        <w:pStyle w:val="NormalWeb"/>
        <w:spacing w:line="360" w:lineRule="auto"/>
        <w:jc w:val="both"/>
        <w:rPr>
          <w:rFonts w:ascii="Arial" w:hAnsi="Arial" w:cs="Arial"/>
        </w:rPr>
      </w:pPr>
      <w:r w:rsidRPr="00563BCD">
        <w:rPr>
          <w:rFonts w:ascii="Arial" w:hAnsi="Arial" w:cs="Arial"/>
        </w:rPr>
        <w:t>La incidencia del número de casos de dengue en La Habana ha ido</w:t>
      </w:r>
      <w:r>
        <w:rPr>
          <w:rFonts w:ascii="Arial" w:hAnsi="Arial" w:cs="Arial"/>
        </w:rPr>
        <w:t xml:space="preserve"> en ascenso</w:t>
      </w:r>
      <w:r w:rsidR="005509C7">
        <w:rPr>
          <w:rFonts w:ascii="Arial" w:hAnsi="Arial" w:cs="Arial"/>
        </w:rPr>
        <w:t xml:space="preserve"> </w:t>
      </w:r>
      <w:r w:rsidR="005509C7" w:rsidRPr="00563BCD">
        <w:rPr>
          <w:rFonts w:ascii="Arial" w:hAnsi="Arial" w:cs="Arial"/>
        </w:rPr>
        <w:t>p</w:t>
      </w:r>
      <w:r w:rsidR="005509C7">
        <w:rPr>
          <w:rFonts w:ascii="Arial" w:hAnsi="Arial" w:cs="Arial"/>
        </w:rPr>
        <w:t xml:space="preserve">oniendo </w:t>
      </w:r>
      <w:r w:rsidR="005509C7" w:rsidRPr="00563BCD">
        <w:rPr>
          <w:rFonts w:ascii="Arial" w:hAnsi="Arial" w:cs="Arial"/>
        </w:rPr>
        <w:t xml:space="preserve"> en tensión en múltiples ocasiones el Sistema de Salud Cubano</w:t>
      </w:r>
      <w:r w:rsidR="005509C7" w:rsidRPr="00420D72">
        <w:rPr>
          <w:rFonts w:ascii="Arial" w:hAnsi="Arial" w:cs="Arial"/>
        </w:rPr>
        <w:t>. El Hospital  “General Freyre de Andrade”</w:t>
      </w:r>
      <w:r w:rsidR="00420D72" w:rsidRPr="00420D72">
        <w:rPr>
          <w:rFonts w:ascii="Arial" w:hAnsi="Arial" w:cs="Arial"/>
        </w:rPr>
        <w:t xml:space="preserve">, localizado en el municipio capitalino de </w:t>
      </w:r>
      <w:r w:rsidR="00420D72" w:rsidRPr="00420D72">
        <w:rPr>
          <w:rFonts w:ascii="Arial" w:hAnsi="Arial" w:cs="Arial"/>
        </w:rPr>
        <w:lastRenderedPageBreak/>
        <w:t>Centro Habana,</w:t>
      </w:r>
      <w:r w:rsidR="005509C7" w:rsidRPr="00420D72">
        <w:rPr>
          <w:rFonts w:ascii="Arial" w:hAnsi="Arial" w:cs="Arial"/>
        </w:rPr>
        <w:t xml:space="preserve"> </w:t>
      </w:r>
      <w:r w:rsidR="00420D72" w:rsidRPr="00420D72">
        <w:rPr>
          <w:rFonts w:ascii="Arial" w:hAnsi="Arial" w:cs="Arial"/>
        </w:rPr>
        <w:t>ha sido escenario por varios años</w:t>
      </w:r>
      <w:r w:rsidR="00420D72">
        <w:rPr>
          <w:rFonts w:ascii="Arial" w:hAnsi="Arial" w:cs="Arial"/>
        </w:rPr>
        <w:t xml:space="preserve"> de ingreso de enfermos con dengue</w:t>
      </w:r>
      <w:r w:rsidR="00360B9A">
        <w:rPr>
          <w:rFonts w:ascii="Arial" w:hAnsi="Arial" w:cs="Arial"/>
        </w:rPr>
        <w:t>.</w:t>
      </w:r>
      <w:r w:rsidR="00360B9A" w:rsidRPr="00360B9A">
        <w:rPr>
          <w:rFonts w:ascii="Arial" w:hAnsi="Arial" w:cs="Arial"/>
        </w:rPr>
        <w:t xml:space="preserve"> </w:t>
      </w:r>
      <w:r w:rsidR="00360B9A" w:rsidRPr="00563BCD">
        <w:rPr>
          <w:rFonts w:ascii="Arial" w:hAnsi="Arial" w:cs="Arial"/>
        </w:rPr>
        <w:t>El estudio del comportamiento</w:t>
      </w:r>
      <w:r w:rsidR="00AB039D">
        <w:rPr>
          <w:rFonts w:ascii="Arial" w:hAnsi="Arial" w:cs="Arial"/>
        </w:rPr>
        <w:t xml:space="preserve"> de la enfermedad en dichos pacientes ingresados permitió </w:t>
      </w:r>
      <w:r w:rsidR="00360B9A" w:rsidRPr="00563BCD">
        <w:rPr>
          <w:rFonts w:ascii="Arial" w:hAnsi="Arial" w:cs="Arial"/>
        </w:rPr>
        <w:t>obtener experiencias y profundizar en el conocimiento de la enfermedad.</w:t>
      </w:r>
      <w:r w:rsidR="00420D72">
        <w:rPr>
          <w:rFonts w:ascii="Arial" w:hAnsi="Arial" w:cs="Arial"/>
        </w:rPr>
        <w:t xml:space="preserve"> </w:t>
      </w:r>
    </w:p>
    <w:p w:rsidR="00BC5F7B" w:rsidRDefault="00BC5F7B" w:rsidP="00BC5F7B">
      <w:pPr>
        <w:pStyle w:val="NormalWeb"/>
        <w:spacing w:line="360" w:lineRule="auto"/>
        <w:jc w:val="both"/>
        <w:rPr>
          <w:rFonts w:ascii="Arial" w:hAnsi="Arial" w:cs="Arial"/>
        </w:rPr>
      </w:pPr>
      <w:r w:rsidRPr="00BC5F7B">
        <w:rPr>
          <w:rFonts w:ascii="Arial" w:hAnsi="Arial" w:cs="Arial"/>
        </w:rPr>
        <w:t xml:space="preserve">El objetivo </w:t>
      </w:r>
      <w:r w:rsidRPr="00BC5F7B">
        <w:rPr>
          <w:rFonts w:ascii="Arial" w:hAnsi="Arial" w:cs="Arial"/>
          <w:lang w:val="es-MX"/>
        </w:rPr>
        <w:t xml:space="preserve">de este trabajo es </w:t>
      </w:r>
      <w:r w:rsidRPr="00BC5F7B">
        <w:rPr>
          <w:rFonts w:ascii="Arial" w:hAnsi="Arial" w:cs="Arial"/>
        </w:rPr>
        <w:t>caracterizar desde el punto de vista clínico a pacientes con dengue e hipotensión postural ingresados en</w:t>
      </w:r>
      <w:r>
        <w:rPr>
          <w:rFonts w:ascii="Arial" w:hAnsi="Arial" w:cs="Arial"/>
        </w:rPr>
        <w:t xml:space="preserve"> dicho hospital según </w:t>
      </w:r>
      <w:r w:rsidRPr="00BC5F7B">
        <w:rPr>
          <w:rFonts w:ascii="Arial" w:hAnsi="Arial" w:cs="Arial"/>
        </w:rPr>
        <w:t>descriptor</w:t>
      </w:r>
      <w:r>
        <w:rPr>
          <w:rFonts w:ascii="Arial" w:hAnsi="Arial" w:cs="Arial"/>
        </w:rPr>
        <w:t>es demográficos (edad y sexo),</w:t>
      </w:r>
      <w:r w:rsidRPr="00BC5F7B">
        <w:rPr>
          <w:rFonts w:ascii="Arial" w:hAnsi="Arial" w:cs="Arial"/>
        </w:rPr>
        <w:t xml:space="preserve"> clínicos (</w:t>
      </w:r>
      <w:r>
        <w:rPr>
          <w:rFonts w:ascii="Arial" w:hAnsi="Arial" w:cs="Arial"/>
        </w:rPr>
        <w:t xml:space="preserve">comorbilidades y </w:t>
      </w:r>
      <w:r w:rsidRPr="00BC5F7B">
        <w:rPr>
          <w:rFonts w:ascii="Arial" w:hAnsi="Arial" w:cs="Arial"/>
        </w:rPr>
        <w:t>manifestaciones clínicas)</w:t>
      </w:r>
      <w:r>
        <w:rPr>
          <w:rFonts w:ascii="Arial" w:hAnsi="Arial" w:cs="Arial"/>
        </w:rPr>
        <w:t xml:space="preserve">, de laboratorio y </w:t>
      </w:r>
      <w:proofErr w:type="spellStart"/>
      <w:r>
        <w:rPr>
          <w:rFonts w:ascii="Arial" w:hAnsi="Arial" w:cs="Arial"/>
        </w:rPr>
        <w:t>ultrasonográficos</w:t>
      </w:r>
      <w:proofErr w:type="spellEnd"/>
      <w:r>
        <w:rPr>
          <w:rFonts w:ascii="Arial" w:hAnsi="Arial" w:cs="Arial"/>
        </w:rPr>
        <w:t>.</w:t>
      </w:r>
    </w:p>
    <w:p w:rsidR="003030A6" w:rsidRPr="007B66D2" w:rsidRDefault="00BC5F7B" w:rsidP="00FC6B61">
      <w:pPr>
        <w:pStyle w:val="NormalWeb"/>
        <w:spacing w:line="360" w:lineRule="auto"/>
        <w:jc w:val="both"/>
        <w:rPr>
          <w:rFonts w:ascii="Arial" w:hAnsi="Arial" w:cs="Arial"/>
        </w:rPr>
      </w:pPr>
      <w:r>
        <w:rPr>
          <w:rFonts w:ascii="Arial" w:hAnsi="Arial" w:cs="Arial"/>
        </w:rPr>
        <w:t xml:space="preserve">Es </w:t>
      </w:r>
      <w:r w:rsidR="00AB039D" w:rsidRPr="00563BCD">
        <w:rPr>
          <w:rFonts w:ascii="Arial" w:hAnsi="Arial" w:cs="Arial"/>
        </w:rPr>
        <w:t xml:space="preserve">significativo ahondar sobre </w:t>
      </w:r>
      <w:r>
        <w:rPr>
          <w:rFonts w:ascii="Arial" w:hAnsi="Arial" w:cs="Arial"/>
        </w:rPr>
        <w:t xml:space="preserve">la frecuencia de aparición de la HO </w:t>
      </w:r>
      <w:r w:rsidR="00AB039D" w:rsidRPr="00563BCD">
        <w:rPr>
          <w:rFonts w:ascii="Arial" w:hAnsi="Arial" w:cs="Arial"/>
        </w:rPr>
        <w:t xml:space="preserve">como signo de alarma </w:t>
      </w:r>
      <w:r w:rsidR="00FC6B61">
        <w:rPr>
          <w:rFonts w:ascii="Arial" w:hAnsi="Arial" w:cs="Arial"/>
        </w:rPr>
        <w:t xml:space="preserve">precoz en </w:t>
      </w:r>
      <w:r w:rsidR="00AB039D" w:rsidRPr="00563BCD">
        <w:rPr>
          <w:rFonts w:ascii="Arial" w:hAnsi="Arial" w:cs="Arial"/>
        </w:rPr>
        <w:t>del dengue</w:t>
      </w:r>
      <w:r>
        <w:rPr>
          <w:rFonts w:ascii="Arial" w:hAnsi="Arial" w:cs="Arial"/>
        </w:rPr>
        <w:t>.</w:t>
      </w:r>
      <w:r w:rsidRPr="00BC5F7B">
        <w:rPr>
          <w:rFonts w:ascii="Arial" w:hAnsi="Arial" w:cs="Arial"/>
        </w:rPr>
        <w:t xml:space="preserve"> </w:t>
      </w:r>
      <w:r w:rsidRPr="00563BCD">
        <w:rPr>
          <w:rFonts w:ascii="Arial" w:hAnsi="Arial" w:cs="Arial"/>
        </w:rPr>
        <w:t xml:space="preserve">La capacitación del Equipo de Salud es básica para la pesquisa de estos signos de alarma en cualquier paciente con sospecha de dengue. </w:t>
      </w:r>
      <w:r w:rsidRPr="00515ACE">
        <w:rPr>
          <w:rFonts w:ascii="Arial" w:hAnsi="Arial" w:cs="Arial"/>
          <w:b/>
          <w:vertAlign w:val="superscript"/>
        </w:rPr>
        <w:t>(</w:t>
      </w:r>
      <w:r w:rsidR="001D7B39">
        <w:rPr>
          <w:rFonts w:ascii="Arial" w:hAnsi="Arial" w:cs="Arial"/>
          <w:b/>
          <w:vertAlign w:val="superscript"/>
        </w:rPr>
        <w:t>7</w:t>
      </w:r>
      <w:r w:rsidRPr="00515ACE">
        <w:rPr>
          <w:rFonts w:ascii="Arial" w:hAnsi="Arial" w:cs="Arial"/>
          <w:b/>
          <w:vertAlign w:val="superscript"/>
        </w:rPr>
        <w:t>)</w:t>
      </w:r>
    </w:p>
    <w:p w:rsidR="007B66D2" w:rsidRPr="007B66D2" w:rsidRDefault="007B66D2" w:rsidP="00071204">
      <w:pPr>
        <w:spacing w:line="360" w:lineRule="auto"/>
        <w:jc w:val="both"/>
        <w:rPr>
          <w:rFonts w:ascii="Arial" w:hAnsi="Arial" w:cs="Arial"/>
          <w:b/>
          <w:sz w:val="24"/>
          <w:szCs w:val="24"/>
          <w:lang w:val="es-ES"/>
        </w:rPr>
      </w:pPr>
      <w:r w:rsidRPr="007B66D2">
        <w:rPr>
          <w:rFonts w:ascii="Arial" w:hAnsi="Arial" w:cs="Arial"/>
          <w:b/>
          <w:sz w:val="24"/>
          <w:szCs w:val="24"/>
          <w:lang w:val="es-ES"/>
        </w:rPr>
        <w:t>Material  y método:</w:t>
      </w:r>
    </w:p>
    <w:p w:rsidR="00E20275" w:rsidRPr="007B66D2" w:rsidRDefault="007B66D2" w:rsidP="00071204">
      <w:pPr>
        <w:spacing w:line="360" w:lineRule="auto"/>
        <w:jc w:val="both"/>
        <w:rPr>
          <w:rFonts w:ascii="Arial" w:hAnsi="Arial" w:cs="Arial"/>
          <w:sz w:val="24"/>
          <w:szCs w:val="24"/>
          <w:lang w:val="es-ES"/>
        </w:rPr>
      </w:pPr>
      <w:r w:rsidRPr="007B66D2">
        <w:rPr>
          <w:rFonts w:ascii="Arial" w:hAnsi="Arial" w:cs="Arial"/>
          <w:sz w:val="24"/>
          <w:szCs w:val="24"/>
          <w:lang w:val="es-ES"/>
        </w:rPr>
        <w:t xml:space="preserve">Se realizó un estudio descriptivo, </w:t>
      </w:r>
      <w:r w:rsidR="00E20275" w:rsidRPr="007B66D2">
        <w:rPr>
          <w:rFonts w:ascii="Arial" w:hAnsi="Arial" w:cs="Arial"/>
          <w:sz w:val="24"/>
          <w:szCs w:val="24"/>
          <w:lang w:val="es-ES"/>
        </w:rPr>
        <w:t>longitudinal,</w:t>
      </w:r>
      <w:r w:rsidR="00E20275">
        <w:rPr>
          <w:rFonts w:ascii="Arial" w:hAnsi="Arial" w:cs="Arial"/>
          <w:sz w:val="24"/>
          <w:szCs w:val="24"/>
          <w:lang w:val="es-ES"/>
        </w:rPr>
        <w:t xml:space="preserve"> de corte prospectivo</w:t>
      </w:r>
      <w:r w:rsidRPr="007B66D2">
        <w:rPr>
          <w:rFonts w:ascii="Arial" w:hAnsi="Arial" w:cs="Arial"/>
          <w:sz w:val="24"/>
          <w:szCs w:val="24"/>
          <w:lang w:val="es-ES"/>
        </w:rPr>
        <w:t xml:space="preserve"> durante el período comprendido </w:t>
      </w:r>
      <w:r w:rsidR="00E20275">
        <w:rPr>
          <w:rFonts w:ascii="Arial" w:hAnsi="Arial" w:cs="Arial"/>
          <w:sz w:val="24"/>
          <w:szCs w:val="24"/>
          <w:lang w:val="es-ES"/>
        </w:rPr>
        <w:t>de 20</w:t>
      </w:r>
      <w:r w:rsidR="00461F2A">
        <w:rPr>
          <w:rFonts w:ascii="Arial" w:hAnsi="Arial" w:cs="Arial"/>
          <w:sz w:val="24"/>
          <w:szCs w:val="24"/>
          <w:lang w:val="es-ES"/>
        </w:rPr>
        <w:t>21</w:t>
      </w:r>
      <w:r w:rsidR="00E20275">
        <w:rPr>
          <w:rFonts w:ascii="Arial" w:hAnsi="Arial" w:cs="Arial"/>
          <w:sz w:val="24"/>
          <w:szCs w:val="24"/>
          <w:lang w:val="es-ES"/>
        </w:rPr>
        <w:t xml:space="preserve"> </w:t>
      </w:r>
      <w:r w:rsidR="00461F2A">
        <w:rPr>
          <w:rFonts w:ascii="Arial" w:hAnsi="Arial" w:cs="Arial"/>
          <w:sz w:val="24"/>
          <w:szCs w:val="24"/>
          <w:lang w:val="es-ES"/>
        </w:rPr>
        <w:t>–</w:t>
      </w:r>
      <w:r w:rsidR="00E20275">
        <w:rPr>
          <w:rFonts w:ascii="Arial" w:hAnsi="Arial" w:cs="Arial"/>
          <w:sz w:val="24"/>
          <w:szCs w:val="24"/>
          <w:lang w:val="es-ES"/>
        </w:rPr>
        <w:t xml:space="preserve"> 20</w:t>
      </w:r>
      <w:r w:rsidR="00461F2A">
        <w:rPr>
          <w:rFonts w:ascii="Arial" w:hAnsi="Arial" w:cs="Arial"/>
          <w:sz w:val="24"/>
          <w:szCs w:val="24"/>
          <w:lang w:val="es-ES"/>
        </w:rPr>
        <w:t xml:space="preserve">22 </w:t>
      </w:r>
      <w:r w:rsidRPr="007B66D2">
        <w:rPr>
          <w:rFonts w:ascii="Arial" w:hAnsi="Arial" w:cs="Arial"/>
          <w:sz w:val="24"/>
          <w:szCs w:val="24"/>
          <w:lang w:val="es-ES"/>
        </w:rPr>
        <w:t xml:space="preserve">en el Hospital </w:t>
      </w:r>
      <w:r w:rsidR="00E20275">
        <w:rPr>
          <w:rFonts w:ascii="Arial" w:hAnsi="Arial" w:cs="Arial"/>
          <w:sz w:val="24"/>
          <w:szCs w:val="24"/>
          <w:lang w:val="es-ES"/>
        </w:rPr>
        <w:t>Freyre de Andrade.</w:t>
      </w:r>
      <w:r w:rsidR="00E20275" w:rsidRPr="00E20275">
        <w:rPr>
          <w:rFonts w:ascii="Arial" w:hAnsi="Arial" w:cs="Arial"/>
          <w:sz w:val="24"/>
          <w:szCs w:val="24"/>
          <w:lang w:val="es-ES"/>
        </w:rPr>
        <w:t xml:space="preserve"> El universo lo constituyeron todos los casos ingresados en este período con diagnóstico de Dengue. La muestra se seleccionó por el método aleatorio simple y quedó conformada por un total de 300 pacientes que cumplieron los criterios de inclusión.</w:t>
      </w:r>
    </w:p>
    <w:p w:rsidR="007B66D2" w:rsidRPr="007B66D2" w:rsidRDefault="007B66D2" w:rsidP="00071204">
      <w:pPr>
        <w:spacing w:line="360" w:lineRule="auto"/>
        <w:jc w:val="both"/>
        <w:rPr>
          <w:rFonts w:ascii="Arial" w:hAnsi="Arial" w:cs="Arial"/>
          <w:sz w:val="24"/>
          <w:szCs w:val="24"/>
        </w:rPr>
      </w:pPr>
      <w:r w:rsidRPr="007B66D2">
        <w:rPr>
          <w:rFonts w:ascii="Arial" w:hAnsi="Arial" w:cs="Arial"/>
          <w:sz w:val="24"/>
          <w:szCs w:val="24"/>
        </w:rPr>
        <w:t xml:space="preserve">Las variables </w:t>
      </w:r>
      <w:r w:rsidR="002B4B2C">
        <w:rPr>
          <w:rFonts w:ascii="Arial" w:hAnsi="Arial" w:cs="Arial"/>
          <w:sz w:val="24"/>
          <w:szCs w:val="24"/>
        </w:rPr>
        <w:t xml:space="preserve">estudiadas </w:t>
      </w:r>
      <w:r w:rsidRPr="007B66D2">
        <w:rPr>
          <w:rFonts w:ascii="Arial" w:hAnsi="Arial" w:cs="Arial"/>
          <w:sz w:val="24"/>
          <w:szCs w:val="24"/>
        </w:rPr>
        <w:t>incluye</w:t>
      </w:r>
      <w:r w:rsidR="002B4B2C">
        <w:rPr>
          <w:rFonts w:ascii="Arial" w:hAnsi="Arial" w:cs="Arial"/>
          <w:sz w:val="24"/>
          <w:szCs w:val="24"/>
        </w:rPr>
        <w:t xml:space="preserve">ron las siguientes: hipotensión postural, edad, sexo, manifestaciones clínicas, comorbilidad, </w:t>
      </w:r>
      <w:proofErr w:type="spellStart"/>
      <w:r w:rsidR="002B4B2C">
        <w:rPr>
          <w:rFonts w:ascii="Arial" w:hAnsi="Arial" w:cs="Arial"/>
          <w:sz w:val="24"/>
          <w:szCs w:val="24"/>
        </w:rPr>
        <w:t>leucograma</w:t>
      </w:r>
      <w:proofErr w:type="spellEnd"/>
      <w:r w:rsidR="002B4B2C">
        <w:rPr>
          <w:rFonts w:ascii="Arial" w:hAnsi="Arial" w:cs="Arial"/>
          <w:sz w:val="24"/>
          <w:szCs w:val="24"/>
        </w:rPr>
        <w:t>, conteo de plaquetas</w:t>
      </w:r>
      <w:r w:rsidRPr="007B66D2">
        <w:rPr>
          <w:rFonts w:ascii="Arial" w:hAnsi="Arial" w:cs="Arial"/>
          <w:sz w:val="24"/>
          <w:szCs w:val="24"/>
        </w:rPr>
        <w:t xml:space="preserve">, </w:t>
      </w:r>
      <w:proofErr w:type="spellStart"/>
      <w:r w:rsidR="002B4B2C">
        <w:rPr>
          <w:rFonts w:ascii="Arial" w:hAnsi="Arial" w:cs="Arial"/>
          <w:sz w:val="24"/>
          <w:szCs w:val="24"/>
        </w:rPr>
        <w:t>leucograma</w:t>
      </w:r>
      <w:proofErr w:type="spellEnd"/>
      <w:r w:rsidR="002B4B2C">
        <w:rPr>
          <w:rFonts w:ascii="Arial" w:hAnsi="Arial" w:cs="Arial"/>
          <w:sz w:val="24"/>
          <w:szCs w:val="24"/>
        </w:rPr>
        <w:t>, ultrasonido abdominal y complicaciones.</w:t>
      </w:r>
    </w:p>
    <w:p w:rsidR="005C3DA4" w:rsidRDefault="007B66D2" w:rsidP="00071204">
      <w:pPr>
        <w:spacing w:line="360" w:lineRule="auto"/>
        <w:jc w:val="both"/>
        <w:rPr>
          <w:rFonts w:ascii="Arial" w:hAnsi="Arial" w:cs="Arial"/>
          <w:sz w:val="24"/>
          <w:szCs w:val="24"/>
          <w:lang w:val="es-ES"/>
        </w:rPr>
      </w:pPr>
      <w:r w:rsidRPr="007B66D2">
        <w:rPr>
          <w:rFonts w:ascii="Arial" w:hAnsi="Arial" w:cs="Arial"/>
          <w:sz w:val="24"/>
          <w:szCs w:val="24"/>
          <w:lang w:val="es-ES"/>
        </w:rPr>
        <w:t xml:space="preserve">Los datos fueron tabulados en una computadora </w:t>
      </w:r>
      <w:proofErr w:type="spellStart"/>
      <w:r w:rsidRPr="007B66D2">
        <w:rPr>
          <w:rFonts w:ascii="Arial" w:hAnsi="Arial" w:cs="Arial"/>
          <w:sz w:val="24"/>
          <w:szCs w:val="24"/>
          <w:lang w:val="es-ES"/>
        </w:rPr>
        <w:t>CoreI</w:t>
      </w:r>
      <w:proofErr w:type="spellEnd"/>
      <w:r w:rsidR="005C3DA4">
        <w:rPr>
          <w:rFonts w:ascii="Arial" w:hAnsi="Arial" w:cs="Arial"/>
          <w:sz w:val="24"/>
          <w:szCs w:val="24"/>
          <w:lang w:val="es-ES"/>
        </w:rPr>
        <w:t xml:space="preserve"> </w:t>
      </w:r>
      <w:r w:rsidRPr="007B66D2">
        <w:rPr>
          <w:rFonts w:ascii="Arial" w:hAnsi="Arial" w:cs="Arial"/>
          <w:sz w:val="24"/>
          <w:szCs w:val="24"/>
          <w:lang w:val="es-ES"/>
        </w:rPr>
        <w:t xml:space="preserve">3 y usando programa SPSS 20. Se utilizaron números y porcientos </w:t>
      </w:r>
      <w:r w:rsidRPr="007B66D2">
        <w:rPr>
          <w:rFonts w:ascii="Arial" w:hAnsi="Arial" w:cs="Arial"/>
          <w:sz w:val="24"/>
          <w:szCs w:val="24"/>
        </w:rPr>
        <w:t>como medidas resumen</w:t>
      </w:r>
      <w:r w:rsidRPr="007B66D2">
        <w:rPr>
          <w:rFonts w:ascii="Arial" w:hAnsi="Arial" w:cs="Arial"/>
          <w:sz w:val="24"/>
          <w:szCs w:val="24"/>
          <w:lang w:val="es-ES"/>
        </w:rPr>
        <w:t>, se emplearon medidas de tendencia central como promedio o media aritmética y de dispersión como la desviación típica. Se empleó el Test Chi cuadrado (x</w:t>
      </w:r>
      <w:r w:rsidRPr="007B66D2">
        <w:rPr>
          <w:rFonts w:ascii="Arial" w:hAnsi="Arial" w:cs="Arial"/>
          <w:sz w:val="24"/>
          <w:szCs w:val="24"/>
          <w:vertAlign w:val="superscript"/>
          <w:lang w:val="es-ES"/>
        </w:rPr>
        <w:t>2</w:t>
      </w:r>
      <w:r w:rsidRPr="007B66D2">
        <w:rPr>
          <w:rFonts w:ascii="Arial" w:hAnsi="Arial" w:cs="Arial"/>
          <w:sz w:val="24"/>
          <w:szCs w:val="24"/>
          <w:lang w:val="es-ES"/>
        </w:rPr>
        <w:t>) con la finalidad de demostrar diferencias significativas de las frecuencias o la relación entre variables.</w:t>
      </w:r>
    </w:p>
    <w:p w:rsidR="007B66D2" w:rsidRPr="005C3DA4" w:rsidRDefault="007B66D2" w:rsidP="00071204">
      <w:pPr>
        <w:spacing w:line="360" w:lineRule="auto"/>
        <w:jc w:val="both"/>
        <w:rPr>
          <w:rFonts w:ascii="Arial" w:hAnsi="Arial" w:cs="Arial"/>
          <w:sz w:val="24"/>
          <w:szCs w:val="24"/>
        </w:rPr>
      </w:pPr>
      <w:r w:rsidRPr="007B66D2">
        <w:rPr>
          <w:rFonts w:ascii="Arial" w:hAnsi="Arial"/>
          <w:b/>
          <w:sz w:val="24"/>
          <w:lang w:val="es-ES"/>
        </w:rPr>
        <w:t>Criterios de inclusión</w:t>
      </w:r>
    </w:p>
    <w:p w:rsidR="005C3DA4" w:rsidRPr="005C3DA4" w:rsidRDefault="005C3DA4" w:rsidP="005C3DA4">
      <w:pPr>
        <w:spacing w:line="360" w:lineRule="auto"/>
        <w:jc w:val="both"/>
        <w:rPr>
          <w:rFonts w:ascii="Arial" w:hAnsi="Arial"/>
          <w:sz w:val="24"/>
          <w:lang w:val="es-ES"/>
        </w:rPr>
      </w:pPr>
      <w:r w:rsidRPr="005C3DA4">
        <w:rPr>
          <w:rFonts w:ascii="Arial" w:hAnsi="Arial"/>
          <w:sz w:val="24"/>
          <w:lang w:val="es-ES"/>
        </w:rPr>
        <w:lastRenderedPageBreak/>
        <w:t xml:space="preserve">Pacientes mayores de 18 años que presenten síndrome febril, vivan o trabajen en área con casos reportados de dengue y tengan al menos 2 o más síntomas o signos de los que a continuación se relacionan más: </w:t>
      </w:r>
      <w:proofErr w:type="spellStart"/>
      <w:r w:rsidRPr="005C3DA4">
        <w:rPr>
          <w:rFonts w:ascii="Arial" w:hAnsi="Arial"/>
          <w:sz w:val="24"/>
          <w:lang w:val="es-ES"/>
        </w:rPr>
        <w:t>IgM</w:t>
      </w:r>
      <w:proofErr w:type="spellEnd"/>
      <w:r w:rsidRPr="005C3DA4">
        <w:rPr>
          <w:rFonts w:ascii="Arial" w:hAnsi="Arial"/>
          <w:sz w:val="24"/>
          <w:lang w:val="es-ES"/>
        </w:rPr>
        <w:t xml:space="preserve"> a dengue positiva</w:t>
      </w:r>
      <w:r>
        <w:rPr>
          <w:rFonts w:ascii="Arial" w:hAnsi="Arial"/>
          <w:sz w:val="24"/>
          <w:lang w:val="es-ES"/>
        </w:rPr>
        <w:t xml:space="preserve"> o </w:t>
      </w:r>
      <w:r w:rsidRPr="005C3DA4">
        <w:rPr>
          <w:rFonts w:ascii="Arial" w:hAnsi="Arial"/>
          <w:sz w:val="24"/>
          <w:lang w:val="es-ES"/>
        </w:rPr>
        <w:t>estudios virales de tejidos positivos a virus del Dengue</w:t>
      </w:r>
      <w:r>
        <w:rPr>
          <w:rFonts w:ascii="Arial" w:hAnsi="Arial"/>
          <w:sz w:val="24"/>
          <w:lang w:val="es-ES"/>
        </w:rPr>
        <w:t>.</w:t>
      </w:r>
    </w:p>
    <w:p w:rsidR="005C3DA4" w:rsidRPr="005C3DA4" w:rsidRDefault="005C3DA4" w:rsidP="005C3DA4">
      <w:pPr>
        <w:spacing w:line="360" w:lineRule="auto"/>
        <w:jc w:val="both"/>
        <w:rPr>
          <w:rFonts w:ascii="Arial" w:hAnsi="Arial"/>
          <w:sz w:val="24"/>
          <w:lang w:val="es-ES"/>
        </w:rPr>
      </w:pPr>
      <w:r w:rsidRPr="005C3DA4">
        <w:rPr>
          <w:rFonts w:ascii="Arial" w:hAnsi="Arial"/>
          <w:sz w:val="24"/>
          <w:u w:val="single"/>
          <w:lang w:val="es-ES"/>
        </w:rPr>
        <w:t>Síntomas y signos:</w:t>
      </w:r>
      <w:r w:rsidRPr="005C3DA4">
        <w:rPr>
          <w:rFonts w:ascii="Arial" w:hAnsi="Arial"/>
          <w:sz w:val="24"/>
          <w:lang w:val="es-ES"/>
        </w:rPr>
        <w:t xml:space="preserve"> </w:t>
      </w:r>
      <w:r w:rsidRPr="005C3DA4">
        <w:rPr>
          <w:rFonts w:ascii="Arial" w:hAnsi="Arial"/>
          <w:sz w:val="24"/>
          <w:lang w:val="es-VE"/>
        </w:rPr>
        <w:t xml:space="preserve">Fiebre, </w:t>
      </w:r>
      <w:proofErr w:type="spellStart"/>
      <w:r>
        <w:rPr>
          <w:rFonts w:ascii="Arial" w:hAnsi="Arial"/>
          <w:i/>
          <w:sz w:val="24"/>
          <w:lang w:val="es-VE"/>
        </w:rPr>
        <w:t>r</w:t>
      </w:r>
      <w:r w:rsidRPr="005C3DA4">
        <w:rPr>
          <w:rFonts w:ascii="Arial" w:hAnsi="Arial"/>
          <w:i/>
          <w:sz w:val="24"/>
          <w:lang w:val="es-VE"/>
        </w:rPr>
        <w:t>ash</w:t>
      </w:r>
      <w:proofErr w:type="spellEnd"/>
      <w:r>
        <w:rPr>
          <w:rFonts w:ascii="Arial" w:hAnsi="Arial"/>
          <w:sz w:val="24"/>
          <w:lang w:val="es-VE"/>
        </w:rPr>
        <w:t xml:space="preserve">, dolor </w:t>
      </w:r>
      <w:proofErr w:type="spellStart"/>
      <w:r>
        <w:rPr>
          <w:rFonts w:ascii="Arial" w:hAnsi="Arial"/>
          <w:sz w:val="24"/>
          <w:lang w:val="es-VE"/>
        </w:rPr>
        <w:t>retroocular</w:t>
      </w:r>
      <w:proofErr w:type="spellEnd"/>
      <w:r>
        <w:rPr>
          <w:rFonts w:ascii="Arial" w:hAnsi="Arial"/>
          <w:sz w:val="24"/>
          <w:lang w:val="es-VE"/>
        </w:rPr>
        <w:t>, nauseas, vómitos, dolor abdominal, adenomegalias, prueba Lazo positiva, hemorragias, diarreas, n</w:t>
      </w:r>
      <w:r w:rsidRPr="005C3DA4">
        <w:rPr>
          <w:rFonts w:ascii="Arial" w:hAnsi="Arial"/>
          <w:sz w:val="24"/>
          <w:lang w:val="es-VE"/>
        </w:rPr>
        <w:t>euritis, mialgias,</w:t>
      </w:r>
      <w:r>
        <w:rPr>
          <w:rFonts w:ascii="Arial" w:hAnsi="Arial"/>
          <w:sz w:val="24"/>
          <w:lang w:val="es-VE"/>
        </w:rPr>
        <w:t xml:space="preserve"> artralgias, confusión mental, cefalea, c</w:t>
      </w:r>
      <w:r w:rsidRPr="005C3DA4">
        <w:rPr>
          <w:rFonts w:ascii="Arial" w:hAnsi="Arial"/>
          <w:sz w:val="24"/>
          <w:lang w:val="es-VE"/>
        </w:rPr>
        <w:t>onvulsión,</w:t>
      </w:r>
      <w:r>
        <w:rPr>
          <w:rFonts w:ascii="Arial" w:hAnsi="Arial"/>
          <w:sz w:val="24"/>
          <w:lang w:val="es-VE"/>
        </w:rPr>
        <w:t xml:space="preserve"> h</w:t>
      </w:r>
      <w:r w:rsidRPr="005C3DA4">
        <w:rPr>
          <w:rFonts w:ascii="Arial" w:hAnsi="Arial"/>
          <w:sz w:val="24"/>
          <w:lang w:val="es-VE"/>
        </w:rPr>
        <w:t>ipotensión postural</w:t>
      </w:r>
      <w:r>
        <w:rPr>
          <w:rFonts w:ascii="Arial" w:hAnsi="Arial"/>
          <w:sz w:val="24"/>
          <w:lang w:val="es-VE"/>
        </w:rPr>
        <w:t>, insuficiencia de sistemas de órganos (</w:t>
      </w:r>
      <w:proofErr w:type="spellStart"/>
      <w:r>
        <w:rPr>
          <w:rFonts w:ascii="Arial" w:hAnsi="Arial"/>
          <w:sz w:val="24"/>
          <w:lang w:val="es-VE"/>
        </w:rPr>
        <w:t>distress</w:t>
      </w:r>
      <w:proofErr w:type="spellEnd"/>
      <w:r>
        <w:rPr>
          <w:rFonts w:ascii="Arial" w:hAnsi="Arial"/>
          <w:sz w:val="24"/>
          <w:lang w:val="es-VE"/>
        </w:rPr>
        <w:t xml:space="preserve"> respiratorio, insuficiencia renal aguda, miocarditis, shock, insuficiencia hepática)</w:t>
      </w:r>
    </w:p>
    <w:p w:rsidR="005C3DA4" w:rsidRPr="005C3DA4" w:rsidRDefault="005C3DA4" w:rsidP="00071204">
      <w:pPr>
        <w:spacing w:line="360" w:lineRule="auto"/>
        <w:jc w:val="both"/>
        <w:rPr>
          <w:rFonts w:ascii="Arial" w:hAnsi="Arial"/>
          <w:sz w:val="24"/>
          <w:lang w:val="es-ES"/>
        </w:rPr>
      </w:pPr>
    </w:p>
    <w:p w:rsidR="007B66D2" w:rsidRPr="007B66D2" w:rsidRDefault="007B66D2" w:rsidP="00071204">
      <w:pPr>
        <w:spacing w:line="360" w:lineRule="auto"/>
        <w:jc w:val="both"/>
        <w:rPr>
          <w:rFonts w:ascii="Arial" w:hAnsi="Arial"/>
          <w:b/>
          <w:sz w:val="24"/>
          <w:u w:val="single"/>
          <w:lang w:val="es-ES"/>
        </w:rPr>
      </w:pPr>
      <w:r w:rsidRPr="007B66D2">
        <w:rPr>
          <w:rFonts w:ascii="Arial" w:hAnsi="Arial"/>
          <w:b/>
          <w:sz w:val="24"/>
          <w:lang w:val="es-ES"/>
        </w:rPr>
        <w:t>Criterios de exclusión</w:t>
      </w:r>
    </w:p>
    <w:p w:rsidR="005C3DA4" w:rsidRPr="0049710E" w:rsidRDefault="005C3DA4" w:rsidP="0049710E">
      <w:pPr>
        <w:spacing w:line="360" w:lineRule="auto"/>
        <w:ind w:right="9"/>
        <w:jc w:val="both"/>
        <w:rPr>
          <w:rFonts w:ascii="Arial" w:hAnsi="Arial" w:cs="Arial"/>
          <w:sz w:val="24"/>
          <w:szCs w:val="24"/>
          <w:lang w:val="es-ES"/>
        </w:rPr>
      </w:pPr>
      <w:r w:rsidRPr="005C3DA4">
        <w:rPr>
          <w:rFonts w:ascii="Arial" w:hAnsi="Arial" w:cs="Arial"/>
          <w:sz w:val="24"/>
          <w:szCs w:val="24"/>
          <w:lang w:val="es-ES"/>
        </w:rPr>
        <w:t xml:space="preserve">Pacientes con síndrome febril e </w:t>
      </w:r>
      <w:proofErr w:type="spellStart"/>
      <w:r w:rsidRPr="005C3DA4">
        <w:rPr>
          <w:rFonts w:ascii="Arial" w:hAnsi="Arial" w:cs="Arial"/>
          <w:sz w:val="24"/>
          <w:szCs w:val="24"/>
          <w:lang w:val="es-ES"/>
        </w:rPr>
        <w:t>IgM</w:t>
      </w:r>
      <w:proofErr w:type="spellEnd"/>
      <w:r w:rsidRPr="005C3DA4">
        <w:rPr>
          <w:rFonts w:ascii="Arial" w:hAnsi="Arial" w:cs="Arial"/>
          <w:sz w:val="24"/>
          <w:szCs w:val="24"/>
          <w:lang w:val="es-ES"/>
        </w:rPr>
        <w:t xml:space="preserve"> para dengue negativa o estudios virales de tejidos negativos.</w:t>
      </w:r>
    </w:p>
    <w:p w:rsidR="00FC6B61" w:rsidRDefault="00FC6B61" w:rsidP="00071204">
      <w:pPr>
        <w:jc w:val="both"/>
        <w:rPr>
          <w:rFonts w:ascii="Arial" w:hAnsi="Arial" w:cs="Arial"/>
          <w:b/>
          <w:bCs/>
          <w:sz w:val="24"/>
          <w:szCs w:val="24"/>
          <w:lang w:val="es-ES"/>
        </w:rPr>
      </w:pPr>
    </w:p>
    <w:p w:rsidR="007B66D2" w:rsidRDefault="007B66D2" w:rsidP="00071204">
      <w:pPr>
        <w:jc w:val="both"/>
        <w:rPr>
          <w:rFonts w:ascii="Arial" w:hAnsi="Arial" w:cs="Arial"/>
          <w:b/>
          <w:bCs/>
          <w:sz w:val="24"/>
          <w:szCs w:val="24"/>
          <w:lang w:val="es-ES"/>
        </w:rPr>
      </w:pPr>
      <w:r w:rsidRPr="007B66D2">
        <w:rPr>
          <w:rFonts w:ascii="Arial" w:hAnsi="Arial" w:cs="Arial"/>
          <w:b/>
          <w:bCs/>
          <w:sz w:val="24"/>
          <w:szCs w:val="24"/>
          <w:lang w:val="es-ES"/>
        </w:rPr>
        <w:t>Análisis y discusión de los resultados</w:t>
      </w:r>
    </w:p>
    <w:p w:rsidR="00912E5A" w:rsidRDefault="00912E5A" w:rsidP="00071204">
      <w:pPr>
        <w:jc w:val="both"/>
        <w:rPr>
          <w:rFonts w:ascii="Arial" w:hAnsi="Arial" w:cs="Arial"/>
          <w:b/>
          <w:bCs/>
          <w:sz w:val="24"/>
          <w:szCs w:val="24"/>
          <w:lang w:val="es-ES"/>
        </w:rPr>
      </w:pPr>
    </w:p>
    <w:p w:rsidR="00071204" w:rsidRDefault="00071204" w:rsidP="00071204">
      <w:pPr>
        <w:jc w:val="both"/>
        <w:rPr>
          <w:rFonts w:ascii="Arial" w:hAnsi="Arial" w:cs="Arial"/>
          <w:b/>
          <w:sz w:val="24"/>
          <w:szCs w:val="24"/>
          <w:lang w:val="es-AR"/>
        </w:rPr>
      </w:pPr>
      <w:r w:rsidRPr="00071204">
        <w:rPr>
          <w:rFonts w:ascii="Arial" w:hAnsi="Arial" w:cs="Arial"/>
          <w:b/>
          <w:sz w:val="24"/>
          <w:szCs w:val="24"/>
          <w:lang w:val="es-AR"/>
        </w:rPr>
        <w:t>Gráfico 1</w:t>
      </w:r>
      <w:r>
        <w:rPr>
          <w:rFonts w:ascii="Arial" w:hAnsi="Arial" w:cs="Arial"/>
          <w:b/>
          <w:sz w:val="24"/>
          <w:szCs w:val="24"/>
          <w:lang w:val="es-AR"/>
        </w:rPr>
        <w:t xml:space="preserve"> elaborado a partir de la Tabla 1</w:t>
      </w:r>
      <w:r w:rsidRPr="00071204">
        <w:rPr>
          <w:rFonts w:ascii="Arial" w:hAnsi="Arial" w:cs="Arial"/>
          <w:b/>
          <w:sz w:val="24"/>
          <w:szCs w:val="24"/>
          <w:lang w:val="es-AR"/>
        </w:rPr>
        <w:t xml:space="preserve">. </w:t>
      </w:r>
      <w:r w:rsidRPr="00071204">
        <w:rPr>
          <w:rFonts w:ascii="Arial" w:hAnsi="Arial" w:cs="Arial"/>
          <w:sz w:val="24"/>
          <w:szCs w:val="24"/>
          <w:lang w:val="es-AR"/>
        </w:rPr>
        <w:t xml:space="preserve">Distribución de los pacientes según presencia de hipotensión postural. </w:t>
      </w:r>
    </w:p>
    <w:p w:rsidR="00071204" w:rsidRPr="00071204" w:rsidRDefault="00AD5582" w:rsidP="00071204">
      <w:pPr>
        <w:jc w:val="both"/>
        <w:rPr>
          <w:rFonts w:ascii="Arial" w:hAnsi="Arial" w:cs="Arial"/>
          <w:b/>
          <w:sz w:val="24"/>
          <w:szCs w:val="24"/>
          <w:lang w:val="es-AR"/>
        </w:rPr>
      </w:pPr>
      <w:r w:rsidRPr="00EB7AC4">
        <w:rPr>
          <w:rFonts w:ascii="Arial" w:hAnsi="Arial" w:cs="Arial"/>
          <w:noProof/>
          <w:sz w:val="24"/>
          <w:szCs w:val="24"/>
          <w:lang w:val="es-ES" w:eastAsia="es-ES"/>
        </w:rPr>
        <w:lastRenderedPageBreak/>
        <w:drawing>
          <wp:inline distT="0" distB="0" distL="0" distR="0">
            <wp:extent cx="4589145" cy="2747645"/>
            <wp:effectExtent l="0" t="0" r="0" b="0"/>
            <wp:docPr id="1" name="Gráfic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9145" cy="2747645"/>
                    </a:xfrm>
                    <a:prstGeom prst="rect">
                      <a:avLst/>
                    </a:prstGeom>
                    <a:noFill/>
                    <a:ln>
                      <a:noFill/>
                    </a:ln>
                  </pic:spPr>
                </pic:pic>
              </a:graphicData>
            </a:graphic>
          </wp:inline>
        </w:drawing>
      </w:r>
    </w:p>
    <w:p w:rsidR="00071204" w:rsidRPr="00071204" w:rsidRDefault="00071204" w:rsidP="00071204">
      <w:pPr>
        <w:jc w:val="both"/>
        <w:rPr>
          <w:rFonts w:ascii="Arial" w:hAnsi="Arial" w:cs="Arial"/>
          <w:sz w:val="24"/>
          <w:szCs w:val="24"/>
          <w:lang w:val="es-AR"/>
        </w:rPr>
      </w:pPr>
      <w:r w:rsidRPr="00071204">
        <w:rPr>
          <w:rFonts w:ascii="Arial" w:hAnsi="Arial" w:cs="Arial"/>
          <w:sz w:val="24"/>
          <w:szCs w:val="24"/>
          <w:lang w:val="es-AR"/>
        </w:rPr>
        <w:t xml:space="preserve">Se incluyeron un total de 139 pacientes, de los cuales 34 tuvieron hipotensión postural durante el ingreso, para una frecuencia del 24,5% (Gráfico 1). </w:t>
      </w:r>
    </w:p>
    <w:p w:rsidR="00912E5A" w:rsidRPr="00912E5A" w:rsidRDefault="00912E5A" w:rsidP="00912E5A">
      <w:pPr>
        <w:jc w:val="both"/>
        <w:rPr>
          <w:rFonts w:ascii="Arial" w:hAnsi="Arial" w:cs="Arial"/>
          <w:sz w:val="24"/>
          <w:szCs w:val="24"/>
          <w:lang w:val="es-ES"/>
        </w:rPr>
      </w:pPr>
      <w:r w:rsidRPr="00912E5A">
        <w:rPr>
          <w:rFonts w:ascii="Arial" w:hAnsi="Arial" w:cs="Arial"/>
          <w:sz w:val="24"/>
          <w:szCs w:val="24"/>
          <w:lang w:val="es-ES"/>
        </w:rPr>
        <w:t xml:space="preserve">La variabilidad en la prevalencia de la HO en los diversos estudios poblacionales depende de diferentes características como pueden ser: la definición tomada, las características de la población estudiada, si esta está o no institucionalizada, la toma de medicación, la ingesta de alimentos previos a la toma de la PA, cómo se realiza la medida de la PA y la composición de la población. Hay investigaciones que la diagnostican con una elevación de la PA tras el cambio </w:t>
      </w:r>
      <w:proofErr w:type="spellStart"/>
      <w:r w:rsidRPr="00912E5A">
        <w:rPr>
          <w:rFonts w:ascii="Arial" w:hAnsi="Arial" w:cs="Arial"/>
          <w:sz w:val="24"/>
          <w:szCs w:val="24"/>
          <w:lang w:val="es-ES"/>
        </w:rPr>
        <w:t>ortostático</w:t>
      </w:r>
      <w:proofErr w:type="spellEnd"/>
      <w:r w:rsidRPr="00912E5A">
        <w:rPr>
          <w:rFonts w:ascii="Arial" w:hAnsi="Arial" w:cs="Arial"/>
          <w:sz w:val="24"/>
          <w:szCs w:val="24"/>
          <w:lang w:val="es-ES"/>
        </w:rPr>
        <w:t xml:space="preserve"> de 5 </w:t>
      </w:r>
      <w:proofErr w:type="spellStart"/>
      <w:r w:rsidRPr="00912E5A">
        <w:rPr>
          <w:rFonts w:ascii="Arial" w:hAnsi="Arial" w:cs="Arial"/>
          <w:sz w:val="24"/>
          <w:szCs w:val="24"/>
          <w:lang w:val="es-ES"/>
        </w:rPr>
        <w:t>mmHg</w:t>
      </w:r>
      <w:proofErr w:type="spellEnd"/>
      <w:r w:rsidRPr="00912E5A">
        <w:rPr>
          <w:rFonts w:ascii="Arial" w:hAnsi="Arial" w:cs="Arial"/>
          <w:sz w:val="24"/>
          <w:szCs w:val="24"/>
          <w:lang w:val="es-ES"/>
        </w:rPr>
        <w:t xml:space="preserve">, </w:t>
      </w:r>
      <w:r w:rsidRPr="00912E5A">
        <w:rPr>
          <w:rFonts w:ascii="Arial" w:hAnsi="Arial" w:cs="Arial"/>
          <w:b/>
          <w:sz w:val="24"/>
          <w:szCs w:val="24"/>
          <w:vertAlign w:val="superscript"/>
          <w:lang w:val="es-ES"/>
        </w:rPr>
        <w:t>(</w:t>
      </w:r>
      <w:r w:rsidR="001D7B39">
        <w:rPr>
          <w:rFonts w:ascii="Arial" w:hAnsi="Arial" w:cs="Arial"/>
          <w:b/>
          <w:sz w:val="24"/>
          <w:szCs w:val="24"/>
          <w:vertAlign w:val="superscript"/>
          <w:lang w:val="es-ES"/>
        </w:rPr>
        <w:t>8</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otras de 10 </w:t>
      </w:r>
      <w:proofErr w:type="spellStart"/>
      <w:r w:rsidRPr="00912E5A">
        <w:rPr>
          <w:rFonts w:ascii="Arial" w:hAnsi="Arial" w:cs="Arial"/>
          <w:sz w:val="24"/>
          <w:szCs w:val="24"/>
          <w:lang w:val="es-ES"/>
        </w:rPr>
        <w:t>mmHg</w:t>
      </w:r>
      <w:proofErr w:type="spellEnd"/>
      <w:r w:rsidRPr="00912E5A">
        <w:rPr>
          <w:rFonts w:ascii="Arial" w:hAnsi="Arial" w:cs="Arial"/>
          <w:sz w:val="24"/>
          <w:szCs w:val="24"/>
          <w:lang w:val="es-ES"/>
        </w:rPr>
        <w:t xml:space="preserve">, </w:t>
      </w:r>
      <w:r w:rsidRPr="00912E5A">
        <w:rPr>
          <w:rFonts w:ascii="Arial" w:hAnsi="Arial" w:cs="Arial"/>
          <w:b/>
          <w:sz w:val="24"/>
          <w:szCs w:val="24"/>
          <w:vertAlign w:val="superscript"/>
          <w:lang w:val="es-ES"/>
        </w:rPr>
        <w:t>(</w:t>
      </w:r>
      <w:r w:rsidR="001D7B39">
        <w:rPr>
          <w:rFonts w:ascii="Arial" w:hAnsi="Arial" w:cs="Arial"/>
          <w:b/>
          <w:sz w:val="24"/>
          <w:szCs w:val="24"/>
          <w:vertAlign w:val="superscript"/>
          <w:lang w:val="es-ES"/>
        </w:rPr>
        <w:t>9</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mientras otras lo hacen con una elevación de 20 </w:t>
      </w:r>
      <w:proofErr w:type="spellStart"/>
      <w:r w:rsidRPr="00912E5A">
        <w:rPr>
          <w:rFonts w:ascii="Arial" w:hAnsi="Arial" w:cs="Arial"/>
          <w:sz w:val="24"/>
          <w:szCs w:val="24"/>
          <w:lang w:val="es-ES"/>
        </w:rPr>
        <w:t>mmHg</w:t>
      </w:r>
      <w:proofErr w:type="spellEnd"/>
      <w:r w:rsidRPr="00912E5A">
        <w:rPr>
          <w:rFonts w:ascii="Arial" w:hAnsi="Arial" w:cs="Arial"/>
          <w:sz w:val="24"/>
          <w:szCs w:val="24"/>
          <w:lang w:val="es-ES"/>
        </w:rPr>
        <w:t xml:space="preserve">. </w:t>
      </w:r>
      <w:r w:rsidRPr="00912E5A">
        <w:rPr>
          <w:rFonts w:ascii="Arial" w:hAnsi="Arial" w:cs="Arial"/>
          <w:b/>
          <w:sz w:val="24"/>
          <w:szCs w:val="24"/>
          <w:vertAlign w:val="superscript"/>
          <w:lang w:val="es-ES"/>
        </w:rPr>
        <w:t>(</w:t>
      </w:r>
      <w:r w:rsidR="001D7B39">
        <w:rPr>
          <w:rFonts w:ascii="Arial" w:hAnsi="Arial" w:cs="Arial"/>
          <w:b/>
          <w:sz w:val="24"/>
          <w:szCs w:val="24"/>
          <w:vertAlign w:val="superscript"/>
          <w:lang w:val="es-ES"/>
        </w:rPr>
        <w:t>10</w:t>
      </w:r>
      <w:r w:rsidRPr="00912E5A">
        <w:rPr>
          <w:rFonts w:ascii="Arial" w:hAnsi="Arial" w:cs="Arial"/>
          <w:b/>
          <w:sz w:val="24"/>
          <w:szCs w:val="24"/>
          <w:vertAlign w:val="superscript"/>
          <w:lang w:val="es-ES"/>
        </w:rPr>
        <w:t>)</w:t>
      </w:r>
    </w:p>
    <w:p w:rsidR="00912E5A" w:rsidRPr="00912E5A" w:rsidRDefault="00912E5A" w:rsidP="00912E5A">
      <w:pPr>
        <w:jc w:val="both"/>
        <w:rPr>
          <w:rFonts w:ascii="Arial" w:hAnsi="Arial" w:cs="Arial"/>
          <w:sz w:val="24"/>
          <w:szCs w:val="24"/>
          <w:lang w:val="es-ES"/>
        </w:rPr>
      </w:pPr>
      <w:r w:rsidRPr="00912E5A">
        <w:rPr>
          <w:rFonts w:ascii="Arial" w:hAnsi="Arial" w:cs="Arial"/>
          <w:sz w:val="24"/>
          <w:szCs w:val="24"/>
          <w:lang w:val="es-CO"/>
        </w:rPr>
        <w:t xml:space="preserve">La incidencia de hipotensión </w:t>
      </w:r>
      <w:proofErr w:type="spellStart"/>
      <w:r w:rsidRPr="00912E5A">
        <w:rPr>
          <w:rFonts w:ascii="Arial" w:hAnsi="Arial" w:cs="Arial"/>
          <w:sz w:val="24"/>
          <w:szCs w:val="24"/>
          <w:lang w:val="es-CO"/>
        </w:rPr>
        <w:t>ortostática</w:t>
      </w:r>
      <w:proofErr w:type="spellEnd"/>
      <w:r w:rsidRPr="00912E5A">
        <w:rPr>
          <w:rFonts w:ascii="Arial" w:hAnsi="Arial" w:cs="Arial"/>
          <w:sz w:val="24"/>
          <w:szCs w:val="24"/>
          <w:lang w:val="es-CO"/>
        </w:rPr>
        <w:t xml:space="preserve"> en la población en estudio fue del 24,5%. Esta puede considerarse elevada si se toma en cuenta que el rango de HO detectado en estudios de la población general van del 2,4% </w:t>
      </w:r>
      <w:r w:rsidRPr="00912E5A">
        <w:rPr>
          <w:rFonts w:ascii="Arial" w:hAnsi="Arial" w:cs="Arial"/>
          <w:b/>
          <w:sz w:val="24"/>
          <w:szCs w:val="24"/>
          <w:vertAlign w:val="superscript"/>
          <w:lang w:val="es-CO"/>
        </w:rPr>
        <w:t>(</w:t>
      </w:r>
      <w:r w:rsidR="001D7B39">
        <w:rPr>
          <w:rFonts w:ascii="Arial" w:hAnsi="Arial" w:cs="Arial"/>
          <w:b/>
          <w:sz w:val="24"/>
          <w:szCs w:val="24"/>
          <w:vertAlign w:val="superscript"/>
          <w:lang w:val="es-CO"/>
        </w:rPr>
        <w:t>10</w:t>
      </w:r>
      <w:r w:rsidRPr="00912E5A">
        <w:rPr>
          <w:rFonts w:ascii="Arial" w:hAnsi="Arial" w:cs="Arial"/>
          <w:b/>
          <w:sz w:val="24"/>
          <w:szCs w:val="24"/>
          <w:vertAlign w:val="superscript"/>
          <w:lang w:val="es-CO"/>
        </w:rPr>
        <w:t>)</w:t>
      </w:r>
      <w:r w:rsidRPr="00912E5A">
        <w:rPr>
          <w:rFonts w:ascii="Arial" w:hAnsi="Arial" w:cs="Arial"/>
          <w:sz w:val="24"/>
          <w:szCs w:val="24"/>
          <w:lang w:val="es-CO"/>
        </w:rPr>
        <w:t xml:space="preserve"> al 19,5%. </w:t>
      </w:r>
      <w:r w:rsidRPr="00912E5A">
        <w:rPr>
          <w:rFonts w:ascii="Arial" w:hAnsi="Arial" w:cs="Arial"/>
          <w:b/>
          <w:sz w:val="24"/>
          <w:szCs w:val="24"/>
          <w:vertAlign w:val="superscript"/>
          <w:lang w:val="es-CO"/>
        </w:rPr>
        <w:t>(</w:t>
      </w:r>
      <w:r w:rsidR="00A87633">
        <w:rPr>
          <w:rFonts w:ascii="Arial" w:hAnsi="Arial" w:cs="Arial"/>
          <w:b/>
          <w:sz w:val="24"/>
          <w:szCs w:val="24"/>
          <w:vertAlign w:val="superscript"/>
          <w:lang w:val="es-CO"/>
        </w:rPr>
        <w:t>11</w:t>
      </w:r>
      <w:r w:rsidRPr="00912E5A">
        <w:rPr>
          <w:rFonts w:ascii="Arial" w:hAnsi="Arial" w:cs="Arial"/>
          <w:b/>
          <w:sz w:val="24"/>
          <w:szCs w:val="24"/>
          <w:vertAlign w:val="superscript"/>
          <w:lang w:val="es-CO"/>
        </w:rPr>
        <w:t xml:space="preserve">) </w:t>
      </w:r>
      <w:r w:rsidRPr="00912E5A">
        <w:rPr>
          <w:rFonts w:ascii="Arial" w:hAnsi="Arial" w:cs="Arial"/>
          <w:sz w:val="24"/>
          <w:szCs w:val="24"/>
          <w:lang w:val="es-CO"/>
        </w:rPr>
        <w:t xml:space="preserve">En estudios realizados en población hipertensa el rango es mayor y alcanzan el 27,1%. </w:t>
      </w:r>
      <w:r w:rsidRPr="00912E5A">
        <w:rPr>
          <w:rFonts w:ascii="Arial" w:hAnsi="Arial" w:cs="Arial"/>
          <w:b/>
          <w:sz w:val="24"/>
          <w:szCs w:val="24"/>
          <w:vertAlign w:val="superscript"/>
          <w:lang w:val="es-CO"/>
        </w:rPr>
        <w:t>(</w:t>
      </w:r>
      <w:r w:rsidR="001D7B39">
        <w:rPr>
          <w:rFonts w:ascii="Arial" w:hAnsi="Arial" w:cs="Arial"/>
          <w:b/>
          <w:sz w:val="24"/>
          <w:szCs w:val="24"/>
          <w:vertAlign w:val="superscript"/>
          <w:lang w:val="es-CO"/>
        </w:rPr>
        <w:t>9</w:t>
      </w:r>
      <w:r w:rsidRPr="00912E5A">
        <w:rPr>
          <w:rFonts w:ascii="Arial" w:hAnsi="Arial" w:cs="Arial"/>
          <w:b/>
          <w:sz w:val="24"/>
          <w:szCs w:val="24"/>
          <w:vertAlign w:val="superscript"/>
          <w:lang w:val="es-CO"/>
        </w:rPr>
        <w:t xml:space="preserve">) </w:t>
      </w:r>
      <w:r w:rsidRPr="00912E5A">
        <w:rPr>
          <w:rFonts w:ascii="Arial" w:hAnsi="Arial" w:cs="Arial"/>
          <w:sz w:val="24"/>
          <w:szCs w:val="24"/>
          <w:lang w:val="es-CO"/>
        </w:rPr>
        <w:t xml:space="preserve">Por otro lado, en poblaciones de ancianos se reporta una prevalencia de HO del 36,6% en Holanda. </w:t>
      </w:r>
      <w:r w:rsidRPr="00912E5A">
        <w:rPr>
          <w:rFonts w:ascii="Arial" w:hAnsi="Arial" w:cs="Arial"/>
          <w:b/>
          <w:sz w:val="24"/>
          <w:szCs w:val="24"/>
          <w:vertAlign w:val="superscript"/>
          <w:lang w:val="es-CO"/>
        </w:rPr>
        <w:t>(</w:t>
      </w:r>
      <w:r w:rsidR="00A87633">
        <w:rPr>
          <w:rFonts w:ascii="Arial" w:hAnsi="Arial" w:cs="Arial"/>
          <w:b/>
          <w:sz w:val="24"/>
          <w:szCs w:val="24"/>
          <w:vertAlign w:val="superscript"/>
          <w:lang w:val="es-CO"/>
        </w:rPr>
        <w:t>12</w:t>
      </w:r>
      <w:r w:rsidRPr="00912E5A">
        <w:rPr>
          <w:rFonts w:ascii="Arial" w:hAnsi="Arial" w:cs="Arial"/>
          <w:b/>
          <w:sz w:val="24"/>
          <w:szCs w:val="24"/>
          <w:vertAlign w:val="superscript"/>
          <w:lang w:val="es-CO"/>
        </w:rPr>
        <w:t>)</w:t>
      </w:r>
      <w:r w:rsidRPr="00912E5A">
        <w:rPr>
          <w:rFonts w:ascii="Arial" w:hAnsi="Arial" w:cs="Arial"/>
          <w:sz w:val="24"/>
          <w:szCs w:val="24"/>
          <w:lang w:val="es-CO"/>
        </w:rPr>
        <w:t xml:space="preserve"> </w:t>
      </w:r>
    </w:p>
    <w:p w:rsidR="00912E5A" w:rsidRPr="00071204" w:rsidRDefault="00912E5A" w:rsidP="00071204">
      <w:pPr>
        <w:jc w:val="both"/>
        <w:rPr>
          <w:rFonts w:ascii="Arial" w:hAnsi="Arial" w:cs="Arial"/>
          <w:b/>
          <w:sz w:val="24"/>
          <w:szCs w:val="24"/>
          <w:lang w:val="es-AR"/>
        </w:rPr>
      </w:pPr>
    </w:p>
    <w:p w:rsidR="00071204" w:rsidRPr="00071204" w:rsidRDefault="00071204" w:rsidP="00071204">
      <w:pPr>
        <w:jc w:val="both"/>
        <w:rPr>
          <w:rFonts w:ascii="Arial" w:hAnsi="Arial" w:cs="Arial"/>
          <w:b/>
          <w:sz w:val="24"/>
          <w:szCs w:val="24"/>
          <w:lang w:val="es-AR"/>
        </w:rPr>
      </w:pPr>
      <w:r w:rsidRPr="00071204">
        <w:rPr>
          <w:rFonts w:ascii="Arial" w:hAnsi="Arial" w:cs="Arial"/>
          <w:b/>
          <w:sz w:val="24"/>
          <w:szCs w:val="24"/>
          <w:lang w:val="es-AR"/>
        </w:rPr>
        <w:t xml:space="preserve">Tabla 2. </w:t>
      </w:r>
      <w:r w:rsidRPr="00071204">
        <w:rPr>
          <w:rFonts w:ascii="Arial" w:hAnsi="Arial" w:cs="Arial"/>
          <w:sz w:val="24"/>
          <w:szCs w:val="24"/>
          <w:lang w:val="es-AR"/>
        </w:rPr>
        <w:t xml:space="preserve">Distribución de los pacientes según sexo y presencia o no de hipotensión </w:t>
      </w:r>
      <w:proofErr w:type="spellStart"/>
      <w:r w:rsidRPr="00071204">
        <w:rPr>
          <w:rFonts w:ascii="Arial" w:hAnsi="Arial" w:cs="Arial"/>
          <w:sz w:val="24"/>
          <w:szCs w:val="24"/>
          <w:lang w:val="es-AR"/>
        </w:rPr>
        <w:t>ortostática</w:t>
      </w:r>
      <w:proofErr w:type="spellEnd"/>
      <w:r w:rsidRPr="00071204">
        <w:rPr>
          <w:rFonts w:ascii="Arial" w:hAnsi="Arial" w:cs="Arial"/>
          <w:sz w:val="24"/>
          <w:szCs w:val="24"/>
          <w:lang w:val="es-A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651"/>
        <w:gridCol w:w="1651"/>
        <w:gridCol w:w="1624"/>
        <w:gridCol w:w="1912"/>
      </w:tblGrid>
      <w:tr w:rsidR="00071204" w:rsidRPr="0071312C" w:rsidTr="001600B6">
        <w:trPr>
          <w:trHeight w:val="542"/>
          <w:jc w:val="center"/>
        </w:trPr>
        <w:tc>
          <w:tcPr>
            <w:tcW w:w="2028" w:type="dxa"/>
            <w:vMerge w:val="restart"/>
            <w:tcBorders>
              <w:top w:val="single" w:sz="12" w:space="0" w:color="auto"/>
              <w:left w:val="single" w:sz="12" w:space="0" w:color="auto"/>
            </w:tcBorders>
            <w:shd w:val="clear" w:color="auto" w:fill="BFBFBF"/>
          </w:tcPr>
          <w:p w:rsidR="00071204" w:rsidRPr="0071312C" w:rsidRDefault="00071204"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Sexo</w:t>
            </w:r>
          </w:p>
        </w:tc>
        <w:tc>
          <w:tcPr>
            <w:tcW w:w="3402" w:type="dxa"/>
            <w:gridSpan w:val="2"/>
            <w:tcBorders>
              <w:top w:val="single" w:sz="12" w:space="0" w:color="auto"/>
              <w:bottom w:val="single" w:sz="4" w:space="0" w:color="auto"/>
            </w:tcBorders>
            <w:shd w:val="clear" w:color="auto" w:fill="BFBFBF"/>
          </w:tcPr>
          <w:p w:rsidR="00071204" w:rsidRPr="0071312C" w:rsidRDefault="00071204"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 xml:space="preserve">Hipotensión </w:t>
            </w:r>
            <w:proofErr w:type="spellStart"/>
            <w:r>
              <w:rPr>
                <w:rFonts w:ascii="Arial" w:hAnsi="Arial" w:cs="Arial"/>
                <w:b/>
                <w:sz w:val="24"/>
                <w:szCs w:val="24"/>
                <w:lang w:val="es-CO" w:bidi="en-US"/>
              </w:rPr>
              <w:t>ortostática</w:t>
            </w:r>
            <w:proofErr w:type="spellEnd"/>
          </w:p>
        </w:tc>
        <w:tc>
          <w:tcPr>
            <w:tcW w:w="1672" w:type="dxa"/>
            <w:vMerge w:val="restart"/>
            <w:tcBorders>
              <w:top w:val="single" w:sz="12" w:space="0" w:color="auto"/>
              <w:right w:val="single" w:sz="4" w:space="0" w:color="auto"/>
            </w:tcBorders>
            <w:shd w:val="clear" w:color="auto" w:fill="BFBFBF"/>
          </w:tcPr>
          <w:p w:rsidR="00071204" w:rsidRDefault="00071204"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Total</w:t>
            </w:r>
          </w:p>
          <w:p w:rsidR="00071204" w:rsidRPr="005B2CD2" w:rsidRDefault="00071204" w:rsidP="001600B6">
            <w:pPr>
              <w:spacing w:before="120" w:after="0" w:line="480" w:lineRule="auto"/>
              <w:jc w:val="center"/>
              <w:rPr>
                <w:rFonts w:ascii="Arial" w:hAnsi="Arial" w:cs="Arial"/>
                <w:sz w:val="24"/>
                <w:szCs w:val="24"/>
                <w:lang w:val="es-CO" w:bidi="en-US"/>
              </w:rPr>
            </w:pPr>
            <w:r w:rsidRPr="005B2CD2">
              <w:rPr>
                <w:rFonts w:ascii="Arial" w:hAnsi="Arial" w:cs="Arial"/>
                <w:sz w:val="24"/>
                <w:szCs w:val="24"/>
                <w:lang w:val="es-CO" w:bidi="en-US"/>
              </w:rPr>
              <w:t>n=139</w:t>
            </w:r>
          </w:p>
        </w:tc>
        <w:tc>
          <w:tcPr>
            <w:tcW w:w="2002" w:type="dxa"/>
            <w:vMerge w:val="restart"/>
            <w:tcBorders>
              <w:top w:val="single" w:sz="12" w:space="0" w:color="auto"/>
              <w:left w:val="single" w:sz="4" w:space="0" w:color="auto"/>
              <w:right w:val="single" w:sz="12" w:space="0" w:color="auto"/>
            </w:tcBorders>
            <w:shd w:val="clear" w:color="auto" w:fill="BFBFBF"/>
          </w:tcPr>
          <w:p w:rsidR="00071204" w:rsidRPr="0071312C" w:rsidRDefault="00071204" w:rsidP="001600B6">
            <w:pPr>
              <w:spacing w:before="120" w:line="480" w:lineRule="auto"/>
              <w:jc w:val="center"/>
              <w:rPr>
                <w:rFonts w:ascii="Arial" w:hAnsi="Arial" w:cs="Arial"/>
                <w:b/>
                <w:sz w:val="24"/>
                <w:szCs w:val="24"/>
                <w:lang w:val="es-CO" w:bidi="en-US"/>
              </w:rPr>
            </w:pPr>
            <w:r w:rsidRPr="0071312C">
              <w:rPr>
                <w:rFonts w:ascii="Arial" w:hAnsi="Arial" w:cs="Arial"/>
                <w:b/>
                <w:sz w:val="24"/>
                <w:szCs w:val="24"/>
                <w:lang w:val="es-CO" w:bidi="en-US"/>
              </w:rPr>
              <w:t>OR (IC 95 %)</w:t>
            </w:r>
          </w:p>
        </w:tc>
      </w:tr>
      <w:tr w:rsidR="00071204" w:rsidRPr="0071312C" w:rsidTr="001600B6">
        <w:trPr>
          <w:trHeight w:val="691"/>
          <w:jc w:val="center"/>
        </w:trPr>
        <w:tc>
          <w:tcPr>
            <w:tcW w:w="2028" w:type="dxa"/>
            <w:vMerge/>
            <w:tcBorders>
              <w:left w:val="single" w:sz="12"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c>
          <w:tcPr>
            <w:tcW w:w="1701" w:type="dxa"/>
            <w:tcBorders>
              <w:top w:val="single" w:sz="4"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Si n=</w:t>
            </w:r>
            <w:r>
              <w:rPr>
                <w:rFonts w:ascii="Arial" w:hAnsi="Arial" w:cs="Arial"/>
                <w:sz w:val="24"/>
                <w:szCs w:val="24"/>
                <w:lang w:val="es-CO" w:bidi="en-US"/>
              </w:rPr>
              <w:t>34</w:t>
            </w:r>
          </w:p>
        </w:tc>
        <w:tc>
          <w:tcPr>
            <w:tcW w:w="1701" w:type="dxa"/>
            <w:tcBorders>
              <w:top w:val="single" w:sz="4"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No n=1</w:t>
            </w:r>
            <w:r>
              <w:rPr>
                <w:rFonts w:ascii="Arial" w:hAnsi="Arial" w:cs="Arial"/>
                <w:sz w:val="24"/>
                <w:szCs w:val="24"/>
                <w:lang w:val="es-CO" w:bidi="en-US"/>
              </w:rPr>
              <w:t>05</w:t>
            </w:r>
          </w:p>
        </w:tc>
        <w:tc>
          <w:tcPr>
            <w:tcW w:w="1672" w:type="dxa"/>
            <w:vMerge/>
            <w:tcBorders>
              <w:bottom w:val="single" w:sz="12" w:space="0" w:color="auto"/>
              <w:right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c>
          <w:tcPr>
            <w:tcW w:w="2002" w:type="dxa"/>
            <w:vMerge/>
            <w:tcBorders>
              <w:left w:val="single" w:sz="4" w:space="0" w:color="auto"/>
              <w:bottom w:val="single" w:sz="12" w:space="0" w:color="auto"/>
              <w:right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r>
      <w:tr w:rsidR="00071204" w:rsidRPr="0071312C" w:rsidTr="001600B6">
        <w:trPr>
          <w:jc w:val="center"/>
        </w:trPr>
        <w:tc>
          <w:tcPr>
            <w:tcW w:w="2028" w:type="dxa"/>
            <w:tcBorders>
              <w:top w:val="single" w:sz="12" w:space="0" w:color="auto"/>
              <w:left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lastRenderedPageBreak/>
              <w:t>Masculino</w:t>
            </w:r>
          </w:p>
        </w:tc>
        <w:tc>
          <w:tcPr>
            <w:tcW w:w="1701" w:type="dxa"/>
            <w:tcBorders>
              <w:top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7 (20,6%)</w:t>
            </w:r>
          </w:p>
        </w:tc>
        <w:tc>
          <w:tcPr>
            <w:tcW w:w="1701" w:type="dxa"/>
            <w:tcBorders>
              <w:top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44 (41,9%)</w:t>
            </w:r>
          </w:p>
        </w:tc>
        <w:tc>
          <w:tcPr>
            <w:tcW w:w="1672" w:type="dxa"/>
            <w:tcBorders>
              <w:top w:val="single" w:sz="12" w:space="0" w:color="auto"/>
              <w:right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51 (36,7%)</w:t>
            </w:r>
          </w:p>
        </w:tc>
        <w:tc>
          <w:tcPr>
            <w:tcW w:w="2002" w:type="dxa"/>
            <w:tcBorders>
              <w:top w:val="single" w:sz="12" w:space="0" w:color="auto"/>
              <w:left w:val="single" w:sz="4" w:space="0" w:color="auto"/>
              <w:right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0,36 (0,14-0,90)</w:t>
            </w:r>
          </w:p>
        </w:tc>
      </w:tr>
      <w:tr w:rsidR="00071204" w:rsidRPr="0071312C" w:rsidTr="001600B6">
        <w:trPr>
          <w:trHeight w:val="599"/>
          <w:jc w:val="center"/>
        </w:trPr>
        <w:tc>
          <w:tcPr>
            <w:tcW w:w="2028" w:type="dxa"/>
            <w:tcBorders>
              <w:left w:val="single" w:sz="12" w:space="0" w:color="auto"/>
              <w:bottom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Femenino</w:t>
            </w:r>
          </w:p>
        </w:tc>
        <w:tc>
          <w:tcPr>
            <w:tcW w:w="1701" w:type="dxa"/>
            <w:tcBorders>
              <w:bottom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27 (79,4%)</w:t>
            </w:r>
          </w:p>
        </w:tc>
        <w:tc>
          <w:tcPr>
            <w:tcW w:w="1701" w:type="dxa"/>
            <w:tcBorders>
              <w:bottom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61 (58,1%)</w:t>
            </w:r>
          </w:p>
        </w:tc>
        <w:tc>
          <w:tcPr>
            <w:tcW w:w="1672" w:type="dxa"/>
            <w:tcBorders>
              <w:bottom w:val="single" w:sz="4" w:space="0" w:color="auto"/>
              <w:right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88 (63,3%)</w:t>
            </w:r>
          </w:p>
        </w:tc>
        <w:tc>
          <w:tcPr>
            <w:tcW w:w="2002" w:type="dxa"/>
            <w:tcBorders>
              <w:left w:val="single" w:sz="4" w:space="0" w:color="auto"/>
              <w:bottom w:val="single" w:sz="4" w:space="0" w:color="auto"/>
              <w:right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2,78 (1,11-6,96)</w:t>
            </w:r>
          </w:p>
        </w:tc>
      </w:tr>
    </w:tbl>
    <w:p w:rsidR="00071204" w:rsidRDefault="00071204" w:rsidP="00071204">
      <w:pPr>
        <w:jc w:val="both"/>
        <w:rPr>
          <w:rFonts w:ascii="Arial" w:hAnsi="Arial" w:cs="Arial"/>
          <w:b/>
          <w:sz w:val="24"/>
          <w:szCs w:val="24"/>
          <w:lang w:val="es-AR"/>
        </w:rPr>
      </w:pPr>
    </w:p>
    <w:p w:rsidR="00071204" w:rsidRDefault="00071204" w:rsidP="00071204">
      <w:pPr>
        <w:jc w:val="both"/>
        <w:rPr>
          <w:rFonts w:ascii="Arial" w:hAnsi="Arial" w:cs="Arial"/>
          <w:sz w:val="24"/>
          <w:szCs w:val="24"/>
          <w:lang w:val="es-AR"/>
        </w:rPr>
      </w:pPr>
      <w:r w:rsidRPr="00071204">
        <w:rPr>
          <w:rFonts w:ascii="Arial" w:hAnsi="Arial" w:cs="Arial"/>
          <w:sz w:val="24"/>
          <w:szCs w:val="24"/>
          <w:lang w:val="es-AR"/>
        </w:rPr>
        <w:t xml:space="preserve">La Tabla 2 muestra un porcentaje significativamente mayor de mujeres en el grupo de pacientes que tuvieron hipotensión </w:t>
      </w:r>
      <w:proofErr w:type="spellStart"/>
      <w:r w:rsidRPr="00071204">
        <w:rPr>
          <w:rFonts w:ascii="Arial" w:hAnsi="Arial" w:cs="Arial"/>
          <w:sz w:val="24"/>
          <w:szCs w:val="24"/>
          <w:lang w:val="es-AR"/>
        </w:rPr>
        <w:t>ortostática</w:t>
      </w:r>
      <w:proofErr w:type="spellEnd"/>
      <w:r w:rsidRPr="00071204">
        <w:rPr>
          <w:rFonts w:ascii="Arial" w:hAnsi="Arial" w:cs="Arial"/>
          <w:sz w:val="24"/>
          <w:szCs w:val="24"/>
          <w:lang w:val="es-AR"/>
        </w:rPr>
        <w:t xml:space="preserve"> (79,4% frente a 58,1%). La probabilidad de las mujeres de tener HO fue 2,78 veces mayor respecto a los hombres. </w:t>
      </w:r>
    </w:p>
    <w:p w:rsidR="00912E5A" w:rsidRPr="00912E5A" w:rsidRDefault="00912E5A" w:rsidP="00912E5A">
      <w:pPr>
        <w:jc w:val="both"/>
        <w:rPr>
          <w:rFonts w:ascii="Arial" w:hAnsi="Arial" w:cs="Arial"/>
          <w:sz w:val="24"/>
          <w:szCs w:val="24"/>
          <w:lang w:val="es-CO"/>
        </w:rPr>
      </w:pPr>
      <w:r w:rsidRPr="00912E5A">
        <w:rPr>
          <w:rFonts w:ascii="Arial" w:hAnsi="Arial" w:cs="Arial"/>
          <w:sz w:val="24"/>
          <w:szCs w:val="24"/>
          <w:lang w:val="es-CO"/>
        </w:rPr>
        <w:t xml:space="preserve">En el presente estudio se encontró un predominio de mujeres. De manera similar, diversos estudios realizados en Cuba encuentran un predominio de mujeres en un rango que va del 59,3% al 63,1%. </w:t>
      </w:r>
      <w:r w:rsidRPr="00912E5A">
        <w:rPr>
          <w:rFonts w:ascii="Arial" w:hAnsi="Arial" w:cs="Arial"/>
          <w:b/>
          <w:sz w:val="24"/>
          <w:szCs w:val="24"/>
          <w:vertAlign w:val="superscript"/>
          <w:lang w:val="es-CO"/>
        </w:rPr>
        <w:t>(</w:t>
      </w:r>
      <w:r w:rsidR="00A87633" w:rsidRPr="00E173FF">
        <w:rPr>
          <w:rFonts w:ascii="Arial" w:hAnsi="Arial" w:cs="Arial"/>
          <w:b/>
          <w:sz w:val="24"/>
          <w:szCs w:val="24"/>
          <w:vertAlign w:val="superscript"/>
          <w:lang w:val="es-CO"/>
        </w:rPr>
        <w:t>13</w:t>
      </w:r>
      <w:r w:rsidRPr="00E173FF">
        <w:rPr>
          <w:rFonts w:ascii="Arial" w:hAnsi="Arial" w:cs="Arial"/>
          <w:b/>
          <w:sz w:val="24"/>
          <w:szCs w:val="24"/>
          <w:vertAlign w:val="superscript"/>
          <w:lang w:val="es-CO"/>
        </w:rPr>
        <w:t>-</w:t>
      </w:r>
      <w:r w:rsidR="00A87633">
        <w:rPr>
          <w:rFonts w:ascii="Arial" w:hAnsi="Arial" w:cs="Arial"/>
          <w:b/>
          <w:sz w:val="24"/>
          <w:szCs w:val="24"/>
          <w:vertAlign w:val="superscript"/>
          <w:lang w:val="es-CO"/>
        </w:rPr>
        <w:t>15</w:t>
      </w:r>
      <w:r w:rsidRPr="00912E5A">
        <w:rPr>
          <w:rFonts w:ascii="Arial" w:hAnsi="Arial" w:cs="Arial"/>
          <w:b/>
          <w:sz w:val="24"/>
          <w:szCs w:val="24"/>
          <w:vertAlign w:val="superscript"/>
          <w:lang w:val="es-CO"/>
        </w:rPr>
        <w:t>)</w:t>
      </w:r>
    </w:p>
    <w:p w:rsidR="00912E5A" w:rsidRPr="00912E5A" w:rsidRDefault="00912E5A" w:rsidP="00912E5A">
      <w:pPr>
        <w:jc w:val="both"/>
        <w:rPr>
          <w:rFonts w:ascii="Arial" w:hAnsi="Arial" w:cs="Arial"/>
          <w:sz w:val="24"/>
          <w:szCs w:val="24"/>
          <w:lang w:val="es-CO"/>
        </w:rPr>
      </w:pPr>
      <w:r w:rsidRPr="00912E5A">
        <w:rPr>
          <w:rFonts w:ascii="Arial" w:hAnsi="Arial" w:cs="Arial"/>
          <w:sz w:val="24"/>
          <w:szCs w:val="24"/>
          <w:lang w:val="es-CO"/>
        </w:rPr>
        <w:t xml:space="preserve">En relación con el sexo y la HO, en esta investigación se demostró que en casos de dengue, la probabilidad de hipotensión </w:t>
      </w:r>
      <w:proofErr w:type="spellStart"/>
      <w:r w:rsidRPr="00912E5A">
        <w:rPr>
          <w:rFonts w:ascii="Arial" w:hAnsi="Arial" w:cs="Arial"/>
          <w:sz w:val="24"/>
          <w:szCs w:val="24"/>
          <w:lang w:val="es-CO"/>
        </w:rPr>
        <w:t>ortostática</w:t>
      </w:r>
      <w:proofErr w:type="spellEnd"/>
      <w:r w:rsidRPr="00912E5A">
        <w:rPr>
          <w:rFonts w:ascii="Arial" w:hAnsi="Arial" w:cs="Arial"/>
          <w:sz w:val="24"/>
          <w:szCs w:val="24"/>
          <w:lang w:val="es-CO"/>
        </w:rPr>
        <w:t xml:space="preserve"> es mayor en mujeres que en hombres. </w:t>
      </w:r>
      <w:r w:rsidRPr="00912E5A">
        <w:rPr>
          <w:rFonts w:ascii="Arial" w:hAnsi="Arial" w:cs="Arial"/>
          <w:sz w:val="24"/>
          <w:szCs w:val="24"/>
          <w:lang w:val="es-ES"/>
        </w:rPr>
        <w:t xml:space="preserve">En el estudio Rotterdam, </w:t>
      </w:r>
      <w:r w:rsidRPr="00912E5A">
        <w:rPr>
          <w:rFonts w:ascii="Arial" w:hAnsi="Arial" w:cs="Arial"/>
          <w:b/>
          <w:sz w:val="24"/>
          <w:szCs w:val="24"/>
          <w:vertAlign w:val="superscript"/>
          <w:lang w:val="es-ES"/>
        </w:rPr>
        <w:t>(</w:t>
      </w:r>
      <w:r w:rsidR="00A87633">
        <w:rPr>
          <w:rFonts w:ascii="Arial" w:hAnsi="Arial" w:cs="Arial"/>
          <w:b/>
          <w:sz w:val="24"/>
          <w:szCs w:val="24"/>
          <w:vertAlign w:val="superscript"/>
          <w:lang w:val="es-ES"/>
        </w:rPr>
        <w:t>16</w:t>
      </w:r>
      <w:r w:rsidRPr="00912E5A">
        <w:rPr>
          <w:rFonts w:ascii="Arial" w:hAnsi="Arial" w:cs="Arial"/>
          <w:b/>
          <w:sz w:val="24"/>
          <w:szCs w:val="24"/>
          <w:vertAlign w:val="superscript"/>
          <w:lang w:val="es-ES"/>
        </w:rPr>
        <w:t xml:space="preserve">) </w:t>
      </w:r>
      <w:r w:rsidRPr="00912E5A">
        <w:rPr>
          <w:rFonts w:ascii="Arial" w:hAnsi="Arial" w:cs="Arial"/>
          <w:sz w:val="24"/>
          <w:szCs w:val="24"/>
          <w:lang w:val="es-ES"/>
        </w:rPr>
        <w:t>en el MPP (</w:t>
      </w:r>
      <w:r w:rsidRPr="00912E5A">
        <w:rPr>
          <w:rFonts w:ascii="Arial" w:hAnsi="Arial" w:cs="Arial"/>
          <w:i/>
          <w:sz w:val="24"/>
          <w:szCs w:val="24"/>
          <w:lang w:val="es-ES"/>
        </w:rPr>
        <w:t xml:space="preserve">The Malmö </w:t>
      </w:r>
      <w:proofErr w:type="spellStart"/>
      <w:r w:rsidRPr="00912E5A">
        <w:rPr>
          <w:rFonts w:ascii="Arial" w:hAnsi="Arial" w:cs="Arial"/>
          <w:i/>
          <w:sz w:val="24"/>
          <w:szCs w:val="24"/>
          <w:lang w:val="es-ES"/>
        </w:rPr>
        <w:t>Preventive</w:t>
      </w:r>
      <w:proofErr w:type="spellEnd"/>
      <w:r w:rsidRPr="00912E5A">
        <w:rPr>
          <w:rFonts w:ascii="Arial" w:hAnsi="Arial" w:cs="Arial"/>
          <w:i/>
          <w:sz w:val="24"/>
          <w:szCs w:val="24"/>
          <w:lang w:val="es-ES"/>
        </w:rPr>
        <w:t xml:space="preserve"> Project</w:t>
      </w:r>
      <w:r w:rsidRPr="00912E5A">
        <w:rPr>
          <w:rFonts w:ascii="Arial" w:hAnsi="Arial" w:cs="Arial"/>
          <w:sz w:val="24"/>
          <w:szCs w:val="24"/>
          <w:lang w:val="es-ES"/>
        </w:rPr>
        <w:t xml:space="preserve">) </w:t>
      </w:r>
      <w:r w:rsidRPr="00912E5A">
        <w:rPr>
          <w:rFonts w:ascii="Arial" w:hAnsi="Arial" w:cs="Arial"/>
          <w:b/>
          <w:sz w:val="24"/>
          <w:szCs w:val="24"/>
          <w:vertAlign w:val="superscript"/>
          <w:lang w:val="es-ES"/>
        </w:rPr>
        <w:t>(</w:t>
      </w:r>
      <w:r w:rsidR="00A87633">
        <w:rPr>
          <w:rFonts w:ascii="Arial" w:hAnsi="Arial" w:cs="Arial"/>
          <w:b/>
          <w:sz w:val="24"/>
          <w:szCs w:val="24"/>
          <w:vertAlign w:val="superscript"/>
          <w:lang w:val="es-ES"/>
        </w:rPr>
        <w:t>17</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y en el TILDA (</w:t>
      </w:r>
      <w:r w:rsidRPr="00912E5A">
        <w:rPr>
          <w:rFonts w:ascii="Arial" w:hAnsi="Arial" w:cs="Arial"/>
          <w:i/>
          <w:sz w:val="24"/>
          <w:szCs w:val="24"/>
          <w:lang w:val="es-ES"/>
        </w:rPr>
        <w:t xml:space="preserve">The </w:t>
      </w:r>
      <w:proofErr w:type="spellStart"/>
      <w:r w:rsidRPr="00912E5A">
        <w:rPr>
          <w:rFonts w:ascii="Arial" w:hAnsi="Arial" w:cs="Arial"/>
          <w:i/>
          <w:sz w:val="24"/>
          <w:szCs w:val="24"/>
          <w:lang w:val="es-ES"/>
        </w:rPr>
        <w:t>Irish</w:t>
      </w:r>
      <w:proofErr w:type="spellEnd"/>
      <w:r w:rsidRPr="00912E5A">
        <w:rPr>
          <w:rFonts w:ascii="Arial" w:hAnsi="Arial" w:cs="Arial"/>
          <w:i/>
          <w:sz w:val="24"/>
          <w:szCs w:val="24"/>
          <w:lang w:val="es-ES"/>
        </w:rPr>
        <w:t xml:space="preserve"> Longitudinal </w:t>
      </w:r>
      <w:proofErr w:type="spellStart"/>
      <w:r w:rsidRPr="00912E5A">
        <w:rPr>
          <w:rFonts w:ascii="Arial" w:hAnsi="Arial" w:cs="Arial"/>
          <w:i/>
          <w:sz w:val="24"/>
          <w:szCs w:val="24"/>
          <w:lang w:val="es-ES"/>
        </w:rPr>
        <w:t>Study</w:t>
      </w:r>
      <w:proofErr w:type="spellEnd"/>
      <w:r w:rsidRPr="00912E5A">
        <w:rPr>
          <w:rFonts w:ascii="Arial" w:hAnsi="Arial" w:cs="Arial"/>
          <w:i/>
          <w:sz w:val="24"/>
          <w:szCs w:val="24"/>
          <w:lang w:val="es-ES"/>
        </w:rPr>
        <w:t xml:space="preserve"> </w:t>
      </w:r>
      <w:proofErr w:type="spellStart"/>
      <w:r w:rsidRPr="00912E5A">
        <w:rPr>
          <w:rFonts w:ascii="Arial" w:hAnsi="Arial" w:cs="Arial"/>
          <w:i/>
          <w:sz w:val="24"/>
          <w:szCs w:val="24"/>
          <w:lang w:val="es-ES"/>
        </w:rPr>
        <w:t>on</w:t>
      </w:r>
      <w:proofErr w:type="spellEnd"/>
      <w:r w:rsidRPr="00912E5A">
        <w:rPr>
          <w:rFonts w:ascii="Arial" w:hAnsi="Arial" w:cs="Arial"/>
          <w:i/>
          <w:sz w:val="24"/>
          <w:szCs w:val="24"/>
          <w:lang w:val="es-ES"/>
        </w:rPr>
        <w:t xml:space="preserve"> </w:t>
      </w:r>
      <w:proofErr w:type="spellStart"/>
      <w:r w:rsidRPr="00912E5A">
        <w:rPr>
          <w:rFonts w:ascii="Arial" w:hAnsi="Arial" w:cs="Arial"/>
          <w:i/>
          <w:sz w:val="24"/>
          <w:szCs w:val="24"/>
          <w:lang w:val="es-ES"/>
        </w:rPr>
        <w:t>Ageing</w:t>
      </w:r>
      <w:proofErr w:type="spellEnd"/>
      <w:r w:rsidRPr="00912E5A">
        <w:rPr>
          <w:rFonts w:ascii="Arial" w:hAnsi="Arial" w:cs="Arial"/>
          <w:sz w:val="24"/>
          <w:szCs w:val="24"/>
          <w:lang w:val="es-ES"/>
        </w:rPr>
        <w:t xml:space="preserve">) </w:t>
      </w:r>
      <w:r w:rsidRPr="00E173FF">
        <w:rPr>
          <w:rFonts w:ascii="Arial" w:hAnsi="Arial" w:cs="Arial"/>
          <w:b/>
          <w:sz w:val="24"/>
          <w:szCs w:val="24"/>
          <w:vertAlign w:val="superscript"/>
          <w:lang w:val="es-ES"/>
        </w:rPr>
        <w:t>(</w:t>
      </w:r>
      <w:r w:rsidR="00A87633" w:rsidRPr="00E173FF">
        <w:rPr>
          <w:rFonts w:ascii="Arial" w:hAnsi="Arial" w:cs="Arial"/>
          <w:b/>
          <w:sz w:val="24"/>
          <w:szCs w:val="24"/>
          <w:vertAlign w:val="superscript"/>
          <w:lang w:val="es-ES"/>
        </w:rPr>
        <w:t>18</w:t>
      </w:r>
      <w:r w:rsidRPr="00E173FF">
        <w:rPr>
          <w:rFonts w:ascii="Arial" w:hAnsi="Arial" w:cs="Arial"/>
          <w:b/>
          <w:sz w:val="24"/>
          <w:szCs w:val="24"/>
          <w:vertAlign w:val="superscript"/>
          <w:lang w:val="es-ES"/>
        </w:rPr>
        <w:t>)</w:t>
      </w:r>
      <w:r w:rsidRPr="00E173FF">
        <w:rPr>
          <w:rFonts w:ascii="Arial" w:hAnsi="Arial" w:cs="Arial"/>
          <w:sz w:val="24"/>
          <w:szCs w:val="24"/>
          <w:lang w:val="es-ES"/>
        </w:rPr>
        <w:t xml:space="preserve"> </w:t>
      </w:r>
      <w:r w:rsidRPr="00912E5A">
        <w:rPr>
          <w:rFonts w:ascii="Arial" w:hAnsi="Arial" w:cs="Arial"/>
          <w:sz w:val="24"/>
          <w:szCs w:val="24"/>
          <w:lang w:val="es-ES"/>
        </w:rPr>
        <w:t xml:space="preserve">se encontró asociación estadísticamente significativa entre la HO y el sexo femenino, este hecho puede estar justificado porque la respuesta al </w:t>
      </w:r>
      <w:proofErr w:type="spellStart"/>
      <w:r w:rsidRPr="00912E5A">
        <w:rPr>
          <w:rFonts w:ascii="Arial" w:hAnsi="Arial" w:cs="Arial"/>
          <w:sz w:val="24"/>
          <w:szCs w:val="24"/>
          <w:lang w:val="es-ES"/>
        </w:rPr>
        <w:t>ortostatismo</w:t>
      </w:r>
      <w:proofErr w:type="spellEnd"/>
      <w:r w:rsidRPr="00912E5A">
        <w:rPr>
          <w:rFonts w:ascii="Arial" w:hAnsi="Arial" w:cs="Arial"/>
          <w:sz w:val="24"/>
          <w:szCs w:val="24"/>
          <w:lang w:val="es-ES"/>
        </w:rPr>
        <w:t xml:space="preserve"> es menor en las mujeres. En cambio, en otras investigaciones, ser mujer se asocia con una menor prevalencia de la HO </w:t>
      </w:r>
      <w:r w:rsidRPr="00912E5A">
        <w:rPr>
          <w:rFonts w:ascii="Arial" w:hAnsi="Arial" w:cs="Arial"/>
          <w:b/>
          <w:sz w:val="24"/>
          <w:szCs w:val="24"/>
          <w:vertAlign w:val="superscript"/>
          <w:lang w:val="es-ES"/>
        </w:rPr>
        <w:t>(</w:t>
      </w:r>
      <w:r w:rsidR="00A87633">
        <w:rPr>
          <w:rFonts w:ascii="Arial" w:hAnsi="Arial" w:cs="Arial"/>
          <w:b/>
          <w:sz w:val="24"/>
          <w:szCs w:val="24"/>
          <w:vertAlign w:val="superscript"/>
          <w:lang w:val="es-ES"/>
        </w:rPr>
        <w:t>19</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y también se documenta que no existen diferencias relevantes entre los dos sexos. </w:t>
      </w:r>
      <w:r w:rsidRPr="00912E5A">
        <w:rPr>
          <w:rFonts w:ascii="Arial" w:hAnsi="Arial" w:cs="Arial"/>
          <w:b/>
          <w:sz w:val="24"/>
          <w:szCs w:val="24"/>
          <w:vertAlign w:val="superscript"/>
          <w:lang w:val="es-ES"/>
        </w:rPr>
        <w:t>(</w:t>
      </w:r>
      <w:r w:rsidR="00A87633">
        <w:rPr>
          <w:rFonts w:ascii="Arial" w:hAnsi="Arial" w:cs="Arial"/>
          <w:b/>
          <w:sz w:val="24"/>
          <w:szCs w:val="24"/>
          <w:vertAlign w:val="superscript"/>
          <w:lang w:val="es-ES"/>
        </w:rPr>
        <w:t>20</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Algunos autores encuentran que la caída de la PA al ponerse en pie es mayor en los varones, sobre todo la de la PAD, en cambio las mujeres pueden tener con más frecuencia HO sintomática, sobre todo las de menos de 40 años. </w:t>
      </w:r>
      <w:r w:rsidRPr="00912E5A">
        <w:rPr>
          <w:rFonts w:ascii="Arial" w:hAnsi="Arial" w:cs="Arial"/>
          <w:b/>
          <w:sz w:val="24"/>
          <w:szCs w:val="24"/>
          <w:vertAlign w:val="superscript"/>
          <w:lang w:val="es-ES"/>
        </w:rPr>
        <w:t>(</w:t>
      </w:r>
      <w:r w:rsidR="00A87633">
        <w:rPr>
          <w:rFonts w:ascii="Arial" w:hAnsi="Arial" w:cs="Arial"/>
          <w:b/>
          <w:sz w:val="24"/>
          <w:szCs w:val="24"/>
          <w:vertAlign w:val="superscript"/>
          <w:lang w:val="es-ES"/>
        </w:rPr>
        <w:t>21</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Estas diferencias se pueden justificar por la heterogeneidad de las poblaciones de los diferentes estudios. </w:t>
      </w:r>
    </w:p>
    <w:p w:rsidR="00912E5A" w:rsidRPr="00912E5A" w:rsidRDefault="00912E5A" w:rsidP="00912E5A">
      <w:pPr>
        <w:jc w:val="both"/>
        <w:rPr>
          <w:rFonts w:ascii="Arial" w:hAnsi="Arial" w:cs="Arial"/>
          <w:sz w:val="24"/>
          <w:szCs w:val="24"/>
          <w:lang w:val="es-CO"/>
        </w:rPr>
      </w:pPr>
      <w:r w:rsidRPr="00912E5A">
        <w:rPr>
          <w:rFonts w:ascii="Arial" w:hAnsi="Arial" w:cs="Arial"/>
          <w:sz w:val="24"/>
          <w:szCs w:val="24"/>
          <w:lang w:val="es-CO"/>
        </w:rPr>
        <w:t>Los estudios diseñados específicamente para evaluar la HO en pacientes con dengue son muy escasos</w:t>
      </w:r>
      <w:r w:rsidRPr="00E173FF">
        <w:rPr>
          <w:rFonts w:ascii="Arial" w:hAnsi="Arial" w:cs="Arial"/>
          <w:sz w:val="24"/>
          <w:szCs w:val="24"/>
          <w:lang w:val="es-CO"/>
        </w:rPr>
        <w:t xml:space="preserve">. </w:t>
      </w:r>
      <w:r w:rsidRPr="00E173FF">
        <w:rPr>
          <w:rFonts w:ascii="Arial" w:hAnsi="Arial" w:cs="Arial"/>
          <w:b/>
          <w:sz w:val="24"/>
          <w:szCs w:val="24"/>
          <w:vertAlign w:val="superscript"/>
          <w:lang w:val="es-CO"/>
        </w:rPr>
        <w:t>(</w:t>
      </w:r>
      <w:r w:rsidR="00A87633" w:rsidRPr="00E173FF">
        <w:rPr>
          <w:rFonts w:ascii="Arial" w:hAnsi="Arial" w:cs="Arial"/>
          <w:b/>
          <w:sz w:val="24"/>
          <w:szCs w:val="24"/>
          <w:vertAlign w:val="superscript"/>
          <w:lang w:val="es-CO"/>
        </w:rPr>
        <w:t>22</w:t>
      </w:r>
      <w:r w:rsidRPr="00E173FF">
        <w:rPr>
          <w:rFonts w:ascii="Arial" w:hAnsi="Arial" w:cs="Arial"/>
          <w:b/>
          <w:sz w:val="24"/>
          <w:szCs w:val="24"/>
          <w:vertAlign w:val="superscript"/>
          <w:lang w:val="es-CO"/>
        </w:rPr>
        <w:t xml:space="preserve">) </w:t>
      </w:r>
      <w:r w:rsidRPr="00912E5A">
        <w:rPr>
          <w:rFonts w:ascii="Arial" w:hAnsi="Arial" w:cs="Arial"/>
          <w:sz w:val="24"/>
          <w:szCs w:val="24"/>
          <w:lang w:val="es-CO"/>
        </w:rPr>
        <w:t xml:space="preserve">En Guyana Francesa, </w:t>
      </w:r>
      <w:r w:rsidRPr="00912E5A">
        <w:rPr>
          <w:rFonts w:ascii="Arial" w:hAnsi="Arial" w:cs="Arial"/>
          <w:b/>
          <w:sz w:val="24"/>
          <w:szCs w:val="24"/>
          <w:vertAlign w:val="superscript"/>
          <w:lang w:val="es-CO"/>
        </w:rPr>
        <w:t>(</w:t>
      </w:r>
      <w:r w:rsidR="00A87633">
        <w:rPr>
          <w:rFonts w:ascii="Arial" w:hAnsi="Arial" w:cs="Arial"/>
          <w:b/>
          <w:sz w:val="24"/>
          <w:szCs w:val="24"/>
          <w:vertAlign w:val="superscript"/>
          <w:lang w:val="es-CO"/>
        </w:rPr>
        <w:t>22</w:t>
      </w:r>
      <w:r w:rsidRPr="00912E5A">
        <w:rPr>
          <w:rFonts w:ascii="Arial" w:hAnsi="Arial" w:cs="Arial"/>
          <w:b/>
          <w:sz w:val="24"/>
          <w:szCs w:val="24"/>
          <w:vertAlign w:val="superscript"/>
          <w:lang w:val="es-CO"/>
        </w:rPr>
        <w:t>)</w:t>
      </w:r>
      <w:r w:rsidRPr="00912E5A">
        <w:rPr>
          <w:rFonts w:ascii="Arial" w:hAnsi="Arial" w:cs="Arial"/>
          <w:sz w:val="24"/>
          <w:szCs w:val="24"/>
          <w:lang w:val="es-CO"/>
        </w:rPr>
        <w:t xml:space="preserve"> de 806 casos confirmados de dengue se identificó una incidencia de hipotensión en el 9,6% cifra menor a la encontrada en este estudio. </w:t>
      </w:r>
    </w:p>
    <w:p w:rsidR="00071204" w:rsidRDefault="00071204" w:rsidP="00071204">
      <w:pPr>
        <w:jc w:val="both"/>
        <w:rPr>
          <w:rFonts w:ascii="Arial" w:hAnsi="Arial" w:cs="Arial"/>
          <w:sz w:val="24"/>
          <w:szCs w:val="24"/>
          <w:lang w:val="es-AR"/>
        </w:rPr>
      </w:pPr>
      <w:r w:rsidRPr="00071204">
        <w:rPr>
          <w:rFonts w:ascii="Arial" w:hAnsi="Arial" w:cs="Arial"/>
          <w:b/>
          <w:sz w:val="24"/>
          <w:szCs w:val="24"/>
          <w:lang w:val="es-AR"/>
        </w:rPr>
        <w:t xml:space="preserve">Tabla 3. </w:t>
      </w:r>
      <w:r w:rsidRPr="00071204">
        <w:rPr>
          <w:rFonts w:ascii="Arial" w:hAnsi="Arial" w:cs="Arial"/>
          <w:sz w:val="24"/>
          <w:szCs w:val="24"/>
          <w:lang w:val="es-AR"/>
        </w:rPr>
        <w:t xml:space="preserve">Distribución de los pacientes según grupos de edad y presencia o no de hipotensión </w:t>
      </w:r>
      <w:proofErr w:type="spellStart"/>
      <w:r w:rsidRPr="00071204">
        <w:rPr>
          <w:rFonts w:ascii="Arial" w:hAnsi="Arial" w:cs="Arial"/>
          <w:sz w:val="24"/>
          <w:szCs w:val="24"/>
          <w:lang w:val="es-AR"/>
        </w:rPr>
        <w:t>ortostática</w:t>
      </w:r>
      <w:proofErr w:type="spellEnd"/>
      <w:r w:rsidRPr="00071204">
        <w:rPr>
          <w:rFonts w:ascii="Arial" w:hAnsi="Arial" w:cs="Arial"/>
          <w:sz w:val="24"/>
          <w:szCs w:val="24"/>
          <w:lang w:val="es-AR"/>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652"/>
        <w:gridCol w:w="1652"/>
        <w:gridCol w:w="1625"/>
        <w:gridCol w:w="1914"/>
      </w:tblGrid>
      <w:tr w:rsidR="00071204" w:rsidRPr="0071312C" w:rsidTr="001600B6">
        <w:trPr>
          <w:trHeight w:val="542"/>
          <w:jc w:val="center"/>
        </w:trPr>
        <w:tc>
          <w:tcPr>
            <w:tcW w:w="2028" w:type="dxa"/>
            <w:vMerge w:val="restart"/>
            <w:tcBorders>
              <w:top w:val="single" w:sz="12" w:space="0" w:color="auto"/>
              <w:left w:val="single" w:sz="12" w:space="0" w:color="auto"/>
            </w:tcBorders>
            <w:shd w:val="clear" w:color="auto" w:fill="BFBFBF"/>
          </w:tcPr>
          <w:p w:rsidR="00071204" w:rsidRPr="0071312C" w:rsidRDefault="009F734F"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Grupos de edad (Años)</w:t>
            </w:r>
          </w:p>
        </w:tc>
        <w:tc>
          <w:tcPr>
            <w:tcW w:w="3402" w:type="dxa"/>
            <w:gridSpan w:val="2"/>
            <w:tcBorders>
              <w:top w:val="single" w:sz="12" w:space="0" w:color="auto"/>
              <w:bottom w:val="single" w:sz="4" w:space="0" w:color="auto"/>
            </w:tcBorders>
            <w:shd w:val="clear" w:color="auto" w:fill="BFBFBF"/>
          </w:tcPr>
          <w:p w:rsidR="00071204" w:rsidRPr="0071312C" w:rsidRDefault="00071204"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 xml:space="preserve">Hipotensión </w:t>
            </w:r>
            <w:proofErr w:type="spellStart"/>
            <w:r>
              <w:rPr>
                <w:rFonts w:ascii="Arial" w:hAnsi="Arial" w:cs="Arial"/>
                <w:b/>
                <w:sz w:val="24"/>
                <w:szCs w:val="24"/>
                <w:lang w:val="es-CO" w:bidi="en-US"/>
              </w:rPr>
              <w:t>ortostática</w:t>
            </w:r>
            <w:proofErr w:type="spellEnd"/>
          </w:p>
        </w:tc>
        <w:tc>
          <w:tcPr>
            <w:tcW w:w="1672" w:type="dxa"/>
            <w:vMerge w:val="restart"/>
            <w:tcBorders>
              <w:top w:val="single" w:sz="12" w:space="0" w:color="auto"/>
              <w:right w:val="single" w:sz="4" w:space="0" w:color="auto"/>
            </w:tcBorders>
            <w:shd w:val="clear" w:color="auto" w:fill="BFBFBF"/>
          </w:tcPr>
          <w:p w:rsidR="00071204" w:rsidRDefault="00071204" w:rsidP="001600B6">
            <w:pPr>
              <w:spacing w:before="120" w:after="0" w:line="480" w:lineRule="auto"/>
              <w:jc w:val="center"/>
              <w:rPr>
                <w:rFonts w:ascii="Arial" w:hAnsi="Arial" w:cs="Arial"/>
                <w:b/>
                <w:sz w:val="24"/>
                <w:szCs w:val="24"/>
                <w:lang w:val="es-CO" w:bidi="en-US"/>
              </w:rPr>
            </w:pPr>
            <w:r>
              <w:rPr>
                <w:rFonts w:ascii="Arial" w:hAnsi="Arial" w:cs="Arial"/>
                <w:b/>
                <w:sz w:val="24"/>
                <w:szCs w:val="24"/>
                <w:lang w:val="es-CO" w:bidi="en-US"/>
              </w:rPr>
              <w:t>Total</w:t>
            </w:r>
          </w:p>
          <w:p w:rsidR="00071204" w:rsidRPr="005B2CD2" w:rsidRDefault="00071204" w:rsidP="001600B6">
            <w:pPr>
              <w:spacing w:before="120" w:after="0" w:line="480" w:lineRule="auto"/>
              <w:jc w:val="center"/>
              <w:rPr>
                <w:rFonts w:ascii="Arial" w:hAnsi="Arial" w:cs="Arial"/>
                <w:sz w:val="24"/>
                <w:szCs w:val="24"/>
                <w:lang w:val="es-CO" w:bidi="en-US"/>
              </w:rPr>
            </w:pPr>
            <w:r w:rsidRPr="005B2CD2">
              <w:rPr>
                <w:rFonts w:ascii="Arial" w:hAnsi="Arial" w:cs="Arial"/>
                <w:sz w:val="24"/>
                <w:szCs w:val="24"/>
                <w:lang w:val="es-CO" w:bidi="en-US"/>
              </w:rPr>
              <w:lastRenderedPageBreak/>
              <w:t>n=139</w:t>
            </w:r>
          </w:p>
        </w:tc>
        <w:tc>
          <w:tcPr>
            <w:tcW w:w="2002" w:type="dxa"/>
            <w:vMerge w:val="restart"/>
            <w:tcBorders>
              <w:top w:val="single" w:sz="12" w:space="0" w:color="auto"/>
              <w:left w:val="single" w:sz="4" w:space="0" w:color="auto"/>
              <w:right w:val="single" w:sz="12" w:space="0" w:color="auto"/>
            </w:tcBorders>
            <w:shd w:val="clear" w:color="auto" w:fill="BFBFBF"/>
          </w:tcPr>
          <w:p w:rsidR="00071204" w:rsidRPr="0071312C" w:rsidRDefault="00071204" w:rsidP="001600B6">
            <w:pPr>
              <w:spacing w:before="120" w:line="480" w:lineRule="auto"/>
              <w:jc w:val="center"/>
              <w:rPr>
                <w:rFonts w:ascii="Arial" w:hAnsi="Arial" w:cs="Arial"/>
                <w:b/>
                <w:sz w:val="24"/>
                <w:szCs w:val="24"/>
                <w:lang w:val="es-CO" w:bidi="en-US"/>
              </w:rPr>
            </w:pPr>
            <w:r w:rsidRPr="0071312C">
              <w:rPr>
                <w:rFonts w:ascii="Arial" w:hAnsi="Arial" w:cs="Arial"/>
                <w:b/>
                <w:sz w:val="24"/>
                <w:szCs w:val="24"/>
                <w:lang w:val="es-CO" w:bidi="en-US"/>
              </w:rPr>
              <w:lastRenderedPageBreak/>
              <w:t>OR (IC 95 %)</w:t>
            </w:r>
          </w:p>
        </w:tc>
      </w:tr>
      <w:tr w:rsidR="00071204" w:rsidRPr="0071312C" w:rsidTr="001600B6">
        <w:trPr>
          <w:trHeight w:val="691"/>
          <w:jc w:val="center"/>
        </w:trPr>
        <w:tc>
          <w:tcPr>
            <w:tcW w:w="2028" w:type="dxa"/>
            <w:vMerge/>
            <w:tcBorders>
              <w:left w:val="single" w:sz="12"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c>
          <w:tcPr>
            <w:tcW w:w="1701" w:type="dxa"/>
            <w:tcBorders>
              <w:top w:val="single" w:sz="4"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Si n=</w:t>
            </w:r>
            <w:r>
              <w:rPr>
                <w:rFonts w:ascii="Arial" w:hAnsi="Arial" w:cs="Arial"/>
                <w:sz w:val="24"/>
                <w:szCs w:val="24"/>
                <w:lang w:val="es-CO" w:bidi="en-US"/>
              </w:rPr>
              <w:t>34</w:t>
            </w:r>
          </w:p>
        </w:tc>
        <w:tc>
          <w:tcPr>
            <w:tcW w:w="1701" w:type="dxa"/>
            <w:tcBorders>
              <w:top w:val="single" w:sz="4" w:space="0" w:color="auto"/>
              <w:bottom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No n=1</w:t>
            </w:r>
            <w:r>
              <w:rPr>
                <w:rFonts w:ascii="Arial" w:hAnsi="Arial" w:cs="Arial"/>
                <w:sz w:val="24"/>
                <w:szCs w:val="24"/>
                <w:lang w:val="es-CO" w:bidi="en-US"/>
              </w:rPr>
              <w:t>05</w:t>
            </w:r>
          </w:p>
        </w:tc>
        <w:tc>
          <w:tcPr>
            <w:tcW w:w="1672" w:type="dxa"/>
            <w:vMerge/>
            <w:tcBorders>
              <w:bottom w:val="single" w:sz="12" w:space="0" w:color="auto"/>
              <w:right w:val="single" w:sz="4"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c>
          <w:tcPr>
            <w:tcW w:w="2002" w:type="dxa"/>
            <w:vMerge/>
            <w:tcBorders>
              <w:left w:val="single" w:sz="4" w:space="0" w:color="auto"/>
              <w:bottom w:val="single" w:sz="12" w:space="0" w:color="auto"/>
              <w:right w:val="single" w:sz="12" w:space="0" w:color="auto"/>
            </w:tcBorders>
            <w:shd w:val="clear" w:color="auto" w:fill="auto"/>
          </w:tcPr>
          <w:p w:rsidR="00071204" w:rsidRPr="0071312C" w:rsidRDefault="00071204" w:rsidP="001600B6">
            <w:pPr>
              <w:spacing w:before="120" w:after="0" w:line="480" w:lineRule="auto"/>
              <w:jc w:val="center"/>
              <w:rPr>
                <w:rFonts w:ascii="Arial" w:hAnsi="Arial" w:cs="Arial"/>
                <w:sz w:val="24"/>
                <w:szCs w:val="24"/>
                <w:lang w:val="es-CO" w:bidi="en-US"/>
              </w:rPr>
            </w:pPr>
          </w:p>
        </w:tc>
      </w:tr>
      <w:tr w:rsidR="009F734F" w:rsidRPr="0071312C" w:rsidTr="001600B6">
        <w:trPr>
          <w:jc w:val="center"/>
        </w:trPr>
        <w:tc>
          <w:tcPr>
            <w:tcW w:w="2028" w:type="dxa"/>
            <w:tcBorders>
              <w:top w:val="single" w:sz="12" w:space="0" w:color="auto"/>
              <w:lef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lastRenderedPageBreak/>
              <w:t>Menos de 35</w:t>
            </w:r>
          </w:p>
        </w:tc>
        <w:tc>
          <w:tcPr>
            <w:tcW w:w="1701" w:type="dxa"/>
            <w:tcBorders>
              <w:top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25 (73,5%)</w:t>
            </w:r>
          </w:p>
        </w:tc>
        <w:tc>
          <w:tcPr>
            <w:tcW w:w="1701" w:type="dxa"/>
            <w:tcBorders>
              <w:top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55 (52,4%)</w:t>
            </w:r>
          </w:p>
        </w:tc>
        <w:tc>
          <w:tcPr>
            <w:tcW w:w="1672" w:type="dxa"/>
            <w:tcBorders>
              <w:top w:val="single" w:sz="12" w:space="0" w:color="auto"/>
              <w:right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80 (57,6%)</w:t>
            </w:r>
          </w:p>
        </w:tc>
        <w:tc>
          <w:tcPr>
            <w:tcW w:w="2002" w:type="dxa"/>
            <w:tcBorders>
              <w:top w:val="single" w:sz="12" w:space="0" w:color="auto"/>
              <w:left w:val="single" w:sz="4" w:space="0" w:color="auto"/>
              <w:righ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2,52 (1,08-5,92)</w:t>
            </w:r>
          </w:p>
        </w:tc>
      </w:tr>
      <w:tr w:rsidR="009F734F" w:rsidRPr="0071312C" w:rsidTr="009F734F">
        <w:trPr>
          <w:trHeight w:val="599"/>
          <w:jc w:val="center"/>
        </w:trPr>
        <w:tc>
          <w:tcPr>
            <w:tcW w:w="2028" w:type="dxa"/>
            <w:tcBorders>
              <w:lef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 xml:space="preserve"> 3</w:t>
            </w:r>
            <w:r w:rsidRPr="0071312C">
              <w:rPr>
                <w:rFonts w:ascii="Arial" w:hAnsi="Arial" w:cs="Arial"/>
                <w:sz w:val="24"/>
                <w:szCs w:val="24"/>
                <w:lang w:val="es-CO" w:bidi="en-US"/>
              </w:rPr>
              <w:t>6-</w:t>
            </w:r>
            <w:r>
              <w:rPr>
                <w:rFonts w:ascii="Arial" w:hAnsi="Arial" w:cs="Arial"/>
                <w:sz w:val="24"/>
                <w:szCs w:val="24"/>
                <w:lang w:val="es-CO" w:bidi="en-US"/>
              </w:rPr>
              <w:t>4</w:t>
            </w:r>
            <w:r w:rsidRPr="0071312C">
              <w:rPr>
                <w:rFonts w:ascii="Arial" w:hAnsi="Arial" w:cs="Arial"/>
                <w:sz w:val="24"/>
                <w:szCs w:val="24"/>
                <w:lang w:val="es-CO" w:bidi="en-US"/>
              </w:rPr>
              <w:t>5</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4 (11,8%)</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19 (18,1%)</w:t>
            </w:r>
          </w:p>
        </w:tc>
        <w:tc>
          <w:tcPr>
            <w:tcW w:w="1672" w:type="dxa"/>
            <w:tcBorders>
              <w:right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23 (16,5%)</w:t>
            </w:r>
          </w:p>
        </w:tc>
        <w:tc>
          <w:tcPr>
            <w:tcW w:w="2002" w:type="dxa"/>
            <w:tcBorders>
              <w:left w:val="single" w:sz="4" w:space="0" w:color="auto"/>
              <w:righ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w:t>
            </w:r>
          </w:p>
        </w:tc>
      </w:tr>
      <w:tr w:rsidR="009F734F" w:rsidRPr="0071312C" w:rsidTr="009F734F">
        <w:trPr>
          <w:trHeight w:val="599"/>
          <w:jc w:val="center"/>
        </w:trPr>
        <w:tc>
          <w:tcPr>
            <w:tcW w:w="2028" w:type="dxa"/>
            <w:tcBorders>
              <w:lef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46-55</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5 (14,7%)</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22 (21,0%)</w:t>
            </w:r>
          </w:p>
        </w:tc>
        <w:tc>
          <w:tcPr>
            <w:tcW w:w="1672" w:type="dxa"/>
            <w:tcBorders>
              <w:right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27 (19,4%)</w:t>
            </w:r>
          </w:p>
        </w:tc>
        <w:tc>
          <w:tcPr>
            <w:tcW w:w="2002" w:type="dxa"/>
            <w:tcBorders>
              <w:left w:val="single" w:sz="4" w:space="0" w:color="auto"/>
              <w:righ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 xml:space="preserve">-- </w:t>
            </w:r>
          </w:p>
        </w:tc>
      </w:tr>
      <w:tr w:rsidR="009F734F" w:rsidRPr="0071312C" w:rsidTr="009F734F">
        <w:trPr>
          <w:trHeight w:val="599"/>
          <w:jc w:val="center"/>
        </w:trPr>
        <w:tc>
          <w:tcPr>
            <w:tcW w:w="2028" w:type="dxa"/>
            <w:tcBorders>
              <w:lef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sidRPr="0071312C">
              <w:rPr>
                <w:rFonts w:ascii="Arial" w:hAnsi="Arial" w:cs="Arial"/>
                <w:sz w:val="24"/>
                <w:szCs w:val="24"/>
                <w:lang w:val="es-CO" w:bidi="en-US"/>
              </w:rPr>
              <w:t>56-65</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0 (0,0%)</w:t>
            </w:r>
          </w:p>
        </w:tc>
        <w:tc>
          <w:tcPr>
            <w:tcW w:w="1701" w:type="dxa"/>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8 (7,6%)</w:t>
            </w:r>
          </w:p>
        </w:tc>
        <w:tc>
          <w:tcPr>
            <w:tcW w:w="1672" w:type="dxa"/>
            <w:tcBorders>
              <w:right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8 (5,8%)</w:t>
            </w:r>
          </w:p>
        </w:tc>
        <w:tc>
          <w:tcPr>
            <w:tcW w:w="2002" w:type="dxa"/>
            <w:tcBorders>
              <w:left w:val="single" w:sz="4" w:space="0" w:color="auto"/>
              <w:righ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 xml:space="preserve">-- </w:t>
            </w:r>
          </w:p>
        </w:tc>
      </w:tr>
      <w:tr w:rsidR="009F734F" w:rsidRPr="0071312C" w:rsidTr="001600B6">
        <w:trPr>
          <w:trHeight w:val="599"/>
          <w:jc w:val="center"/>
        </w:trPr>
        <w:tc>
          <w:tcPr>
            <w:tcW w:w="2028" w:type="dxa"/>
            <w:tcBorders>
              <w:left w:val="single" w:sz="12" w:space="0" w:color="auto"/>
              <w:bottom w:val="single" w:sz="4" w:space="0" w:color="auto"/>
            </w:tcBorders>
            <w:shd w:val="clear" w:color="auto" w:fill="auto"/>
          </w:tcPr>
          <w:p w:rsidR="009F734F" w:rsidRDefault="009F734F" w:rsidP="009F734F">
            <w:pPr>
              <w:numPr>
                <w:ilvl w:val="0"/>
                <w:numId w:val="44"/>
              </w:numPr>
              <w:spacing w:before="120" w:after="0" w:line="480" w:lineRule="auto"/>
              <w:rPr>
                <w:rFonts w:ascii="Arial" w:hAnsi="Arial" w:cs="Arial"/>
                <w:sz w:val="24"/>
                <w:szCs w:val="24"/>
                <w:lang w:val="es-CO" w:bidi="en-US"/>
              </w:rPr>
            </w:pPr>
            <w:r>
              <w:rPr>
                <w:rFonts w:ascii="Arial" w:hAnsi="Arial" w:cs="Arial"/>
                <w:sz w:val="24"/>
                <w:szCs w:val="24"/>
                <w:lang w:val="es-CO" w:bidi="en-US"/>
              </w:rPr>
              <w:t>65</w:t>
            </w:r>
          </w:p>
        </w:tc>
        <w:tc>
          <w:tcPr>
            <w:tcW w:w="1701" w:type="dxa"/>
            <w:tcBorders>
              <w:bottom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0 (0,0%)</w:t>
            </w:r>
          </w:p>
        </w:tc>
        <w:tc>
          <w:tcPr>
            <w:tcW w:w="1701" w:type="dxa"/>
            <w:tcBorders>
              <w:bottom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1 (9,5%)</w:t>
            </w:r>
          </w:p>
        </w:tc>
        <w:tc>
          <w:tcPr>
            <w:tcW w:w="1672" w:type="dxa"/>
            <w:tcBorders>
              <w:bottom w:val="single" w:sz="4" w:space="0" w:color="auto"/>
              <w:right w:val="single" w:sz="4"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1 (0,7%)</w:t>
            </w:r>
          </w:p>
        </w:tc>
        <w:tc>
          <w:tcPr>
            <w:tcW w:w="2002" w:type="dxa"/>
            <w:tcBorders>
              <w:left w:val="single" w:sz="4" w:space="0" w:color="auto"/>
              <w:bottom w:val="single" w:sz="4" w:space="0" w:color="auto"/>
              <w:right w:val="single" w:sz="12" w:space="0" w:color="auto"/>
            </w:tcBorders>
            <w:shd w:val="clear" w:color="auto" w:fill="auto"/>
          </w:tcPr>
          <w:p w:rsidR="009F734F" w:rsidRPr="0071312C" w:rsidRDefault="009F734F" w:rsidP="001600B6">
            <w:pPr>
              <w:spacing w:before="120" w:after="0" w:line="480" w:lineRule="auto"/>
              <w:jc w:val="center"/>
              <w:rPr>
                <w:rFonts w:ascii="Arial" w:hAnsi="Arial" w:cs="Arial"/>
                <w:sz w:val="24"/>
                <w:szCs w:val="24"/>
                <w:lang w:val="es-CO" w:bidi="en-US"/>
              </w:rPr>
            </w:pPr>
            <w:r>
              <w:rPr>
                <w:rFonts w:ascii="Arial" w:hAnsi="Arial" w:cs="Arial"/>
                <w:sz w:val="24"/>
                <w:szCs w:val="24"/>
                <w:lang w:val="es-CO" w:bidi="en-US"/>
              </w:rPr>
              <w:t>--</w:t>
            </w:r>
          </w:p>
        </w:tc>
      </w:tr>
    </w:tbl>
    <w:p w:rsidR="00071204" w:rsidRDefault="00071204" w:rsidP="00071204">
      <w:pPr>
        <w:jc w:val="both"/>
        <w:rPr>
          <w:rFonts w:ascii="Arial" w:hAnsi="Arial" w:cs="Arial"/>
          <w:b/>
          <w:sz w:val="24"/>
          <w:szCs w:val="24"/>
          <w:lang w:val="es-AR"/>
        </w:rPr>
      </w:pPr>
    </w:p>
    <w:p w:rsidR="00071204" w:rsidRDefault="00071204" w:rsidP="00071204">
      <w:pPr>
        <w:jc w:val="both"/>
        <w:rPr>
          <w:rFonts w:ascii="Arial" w:hAnsi="Arial" w:cs="Arial"/>
          <w:sz w:val="24"/>
          <w:szCs w:val="24"/>
          <w:lang w:val="es-AR"/>
        </w:rPr>
      </w:pPr>
      <w:r w:rsidRPr="00071204">
        <w:rPr>
          <w:rFonts w:ascii="Arial" w:hAnsi="Arial" w:cs="Arial"/>
          <w:sz w:val="24"/>
          <w:szCs w:val="24"/>
          <w:lang w:val="es-AR"/>
        </w:rPr>
        <w:t>El grupo de edad más frecuente fue el menor de 35 años con un 57,6%, seguido en orden descendente por los casos con edad entre 46-55 años con un 19,4%. Solamente un paciente tuvo edad mayor de 65 años. Al analizar las diferencias de edad según presencia o no de HO, se comprobó un porcentaje significativamente mayor de jóvenes con edad menor de 35 años en el grupo de casos con HO (73,5% frente a 52,4%). La probabilidad de HO en jóvenes fue 2,52 veces mayor respecto a los otros grupos de edad.</w:t>
      </w:r>
    </w:p>
    <w:p w:rsidR="00912E5A" w:rsidRPr="00912E5A" w:rsidRDefault="00912E5A" w:rsidP="00912E5A">
      <w:pPr>
        <w:jc w:val="both"/>
        <w:rPr>
          <w:rFonts w:ascii="Arial" w:hAnsi="Arial" w:cs="Arial"/>
          <w:sz w:val="24"/>
          <w:szCs w:val="24"/>
          <w:lang w:val="es-CO"/>
        </w:rPr>
      </w:pPr>
      <w:r w:rsidRPr="00912E5A">
        <w:rPr>
          <w:rFonts w:ascii="Arial" w:hAnsi="Arial" w:cs="Arial"/>
          <w:sz w:val="24"/>
          <w:szCs w:val="24"/>
          <w:lang w:val="es-CO"/>
        </w:rPr>
        <w:t xml:space="preserve">En el presente estudio predominaron los pacientes jóvenes, lo que coincide con otros estudios epidemiológicos realizados en Cuba. </w:t>
      </w:r>
      <w:r w:rsidRPr="00E173FF">
        <w:rPr>
          <w:rFonts w:ascii="Arial" w:hAnsi="Arial" w:cs="Arial"/>
          <w:b/>
          <w:sz w:val="24"/>
          <w:szCs w:val="24"/>
          <w:vertAlign w:val="superscript"/>
          <w:lang w:val="es-CO"/>
        </w:rPr>
        <w:t>(</w:t>
      </w:r>
      <w:r w:rsidR="00A87633" w:rsidRPr="00E173FF">
        <w:rPr>
          <w:rFonts w:ascii="Arial" w:hAnsi="Arial" w:cs="Arial"/>
          <w:b/>
          <w:sz w:val="24"/>
          <w:szCs w:val="24"/>
          <w:vertAlign w:val="superscript"/>
          <w:lang w:val="es-CO"/>
        </w:rPr>
        <w:t>13</w:t>
      </w:r>
      <w:r w:rsidRPr="00912E5A">
        <w:rPr>
          <w:rFonts w:ascii="Arial" w:hAnsi="Arial" w:cs="Arial"/>
          <w:b/>
          <w:sz w:val="24"/>
          <w:szCs w:val="24"/>
          <w:vertAlign w:val="superscript"/>
          <w:lang w:val="es-CO"/>
        </w:rPr>
        <w:t>-</w:t>
      </w:r>
      <w:r w:rsidR="00A87633">
        <w:rPr>
          <w:rFonts w:ascii="Arial" w:hAnsi="Arial" w:cs="Arial"/>
          <w:b/>
          <w:sz w:val="24"/>
          <w:szCs w:val="24"/>
          <w:vertAlign w:val="superscript"/>
          <w:lang w:val="es-CO"/>
        </w:rPr>
        <w:t>15</w:t>
      </w:r>
      <w:r w:rsidRPr="00912E5A">
        <w:rPr>
          <w:rFonts w:ascii="Arial" w:hAnsi="Arial" w:cs="Arial"/>
          <w:b/>
          <w:sz w:val="24"/>
          <w:szCs w:val="24"/>
          <w:vertAlign w:val="superscript"/>
          <w:lang w:val="es-CO"/>
        </w:rPr>
        <w:t>)</w:t>
      </w:r>
    </w:p>
    <w:p w:rsidR="00912E5A" w:rsidRPr="00912E5A" w:rsidRDefault="00912E5A" w:rsidP="00912E5A">
      <w:pPr>
        <w:jc w:val="both"/>
        <w:rPr>
          <w:rFonts w:ascii="Arial" w:hAnsi="Arial" w:cs="Arial"/>
          <w:sz w:val="24"/>
          <w:szCs w:val="24"/>
          <w:lang w:val="es-ES"/>
        </w:rPr>
      </w:pPr>
      <w:r w:rsidRPr="00912E5A">
        <w:rPr>
          <w:rFonts w:ascii="Arial" w:hAnsi="Arial" w:cs="Arial"/>
          <w:sz w:val="24"/>
          <w:szCs w:val="24"/>
          <w:lang w:val="es-CO"/>
        </w:rPr>
        <w:t xml:space="preserve">Uno de los hallazgos más llamativos del presente estudio fue la mayor probabilidad de HO encontrada en jóvenes menores de 35 años respecto a los pacientes con mayor edad. </w:t>
      </w:r>
      <w:r w:rsidRPr="00912E5A">
        <w:rPr>
          <w:rFonts w:ascii="Arial" w:hAnsi="Arial" w:cs="Arial"/>
          <w:sz w:val="24"/>
          <w:szCs w:val="24"/>
          <w:lang w:val="es-ES"/>
        </w:rPr>
        <w:t xml:space="preserve">En un estudio poblacional realizado en Taiwán, donde se incluyeron a sujetos de 20 años o más, se observa que la prevalencia de la HO aumenta de manera significativa con la edad. </w:t>
      </w:r>
      <w:r w:rsidRPr="00912E5A">
        <w:rPr>
          <w:rFonts w:ascii="Arial" w:hAnsi="Arial" w:cs="Arial"/>
          <w:b/>
          <w:sz w:val="24"/>
          <w:szCs w:val="24"/>
          <w:vertAlign w:val="superscript"/>
          <w:lang w:val="es-ES"/>
        </w:rPr>
        <w:t>(</w:t>
      </w:r>
      <w:r w:rsidR="00E173FF">
        <w:rPr>
          <w:rFonts w:ascii="Arial" w:hAnsi="Arial" w:cs="Arial"/>
          <w:b/>
          <w:sz w:val="24"/>
          <w:szCs w:val="24"/>
          <w:vertAlign w:val="superscript"/>
          <w:lang w:val="es-ES"/>
        </w:rPr>
        <w:t>23</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Los sujetos ancianos pueden tener fallos en los mecanismos compensatorios que se producen en el cuerpo humano al adoptar la bipedestación. La frecuencia cardiaca en esos sujetos no se eleva lo suficiente para mantener la PA con el </w:t>
      </w:r>
      <w:proofErr w:type="spellStart"/>
      <w:r w:rsidRPr="00912E5A">
        <w:rPr>
          <w:rFonts w:ascii="Arial" w:hAnsi="Arial" w:cs="Arial"/>
          <w:sz w:val="24"/>
          <w:szCs w:val="24"/>
          <w:lang w:val="es-ES"/>
        </w:rPr>
        <w:t>ortostatismo</w:t>
      </w:r>
      <w:proofErr w:type="spellEnd"/>
      <w:r w:rsidRPr="00912E5A">
        <w:rPr>
          <w:rFonts w:ascii="Arial" w:hAnsi="Arial" w:cs="Arial"/>
          <w:sz w:val="24"/>
          <w:szCs w:val="24"/>
          <w:lang w:val="es-ES"/>
        </w:rPr>
        <w:t xml:space="preserve"> y se produce la alteración conocida como HO.</w:t>
      </w:r>
      <w:r w:rsidRPr="00E173FF">
        <w:rPr>
          <w:rFonts w:ascii="Arial" w:hAnsi="Arial" w:cs="Arial"/>
          <w:color w:val="00B050"/>
          <w:sz w:val="24"/>
          <w:szCs w:val="24"/>
          <w:lang w:val="es-ES"/>
        </w:rPr>
        <w:t xml:space="preserve"> </w:t>
      </w:r>
      <w:r w:rsidRPr="00091A58">
        <w:rPr>
          <w:rFonts w:ascii="Arial" w:hAnsi="Arial" w:cs="Arial"/>
          <w:b/>
          <w:sz w:val="24"/>
          <w:szCs w:val="24"/>
          <w:vertAlign w:val="superscript"/>
          <w:lang w:val="es-ES"/>
        </w:rPr>
        <w:t>(</w:t>
      </w:r>
      <w:r w:rsidR="00E173FF" w:rsidRPr="00091A58">
        <w:rPr>
          <w:rFonts w:ascii="Arial" w:hAnsi="Arial" w:cs="Arial"/>
          <w:b/>
          <w:sz w:val="24"/>
          <w:szCs w:val="24"/>
          <w:vertAlign w:val="superscript"/>
          <w:lang w:val="es-ES"/>
        </w:rPr>
        <w:t>7</w:t>
      </w:r>
      <w:r w:rsidRPr="00091A58">
        <w:rPr>
          <w:rFonts w:ascii="Arial" w:hAnsi="Arial" w:cs="Arial"/>
          <w:b/>
          <w:sz w:val="24"/>
          <w:szCs w:val="24"/>
          <w:vertAlign w:val="superscript"/>
          <w:lang w:val="es-ES"/>
        </w:rPr>
        <w:t>)</w:t>
      </w:r>
      <w:r w:rsidRPr="00091A58">
        <w:rPr>
          <w:rFonts w:ascii="Arial" w:hAnsi="Arial" w:cs="Arial"/>
          <w:sz w:val="24"/>
          <w:szCs w:val="24"/>
          <w:lang w:val="es-ES"/>
        </w:rPr>
        <w:t xml:space="preserve"> </w:t>
      </w:r>
      <w:r w:rsidRPr="00912E5A">
        <w:rPr>
          <w:rFonts w:ascii="Arial" w:hAnsi="Arial" w:cs="Arial"/>
          <w:sz w:val="24"/>
          <w:szCs w:val="24"/>
          <w:lang w:val="es-ES"/>
        </w:rPr>
        <w:t xml:space="preserve">La asociación de la HO con la edad es contradictoria puesto que en algunos estudios sí se encuentra asociación </w:t>
      </w:r>
      <w:r w:rsidRPr="00912E5A">
        <w:rPr>
          <w:rFonts w:ascii="Arial" w:hAnsi="Arial" w:cs="Arial"/>
          <w:b/>
          <w:sz w:val="24"/>
          <w:szCs w:val="24"/>
          <w:vertAlign w:val="superscript"/>
          <w:lang w:val="es-ES"/>
        </w:rPr>
        <w:t>(</w:t>
      </w:r>
      <w:r w:rsidR="00A87633" w:rsidRPr="00E173FF">
        <w:rPr>
          <w:rFonts w:ascii="Arial" w:hAnsi="Arial" w:cs="Arial"/>
          <w:b/>
          <w:sz w:val="24"/>
          <w:szCs w:val="24"/>
          <w:vertAlign w:val="superscript"/>
          <w:lang w:val="es-ES"/>
        </w:rPr>
        <w:t>11</w:t>
      </w:r>
      <w:r w:rsidR="00E173FF" w:rsidRPr="00E173FF">
        <w:rPr>
          <w:rFonts w:ascii="Arial" w:hAnsi="Arial" w:cs="Arial"/>
          <w:b/>
          <w:sz w:val="24"/>
          <w:szCs w:val="24"/>
          <w:vertAlign w:val="superscript"/>
          <w:lang w:val="es-ES"/>
        </w:rPr>
        <w:t xml:space="preserve">, </w:t>
      </w:r>
      <w:r w:rsidR="00E173FF">
        <w:rPr>
          <w:rFonts w:ascii="Arial" w:hAnsi="Arial" w:cs="Arial"/>
          <w:b/>
          <w:sz w:val="24"/>
          <w:szCs w:val="24"/>
          <w:vertAlign w:val="superscript"/>
          <w:lang w:val="es-ES"/>
        </w:rPr>
        <w:t>17, 18</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mientras que en otros no. </w:t>
      </w:r>
      <w:r w:rsidRPr="00912E5A">
        <w:rPr>
          <w:rFonts w:ascii="Arial" w:hAnsi="Arial" w:cs="Arial"/>
          <w:b/>
          <w:sz w:val="24"/>
          <w:szCs w:val="24"/>
          <w:vertAlign w:val="superscript"/>
          <w:lang w:val="es-ES"/>
        </w:rPr>
        <w:t>(</w:t>
      </w:r>
      <w:r w:rsidR="00E173FF">
        <w:rPr>
          <w:rFonts w:ascii="Arial" w:hAnsi="Arial" w:cs="Arial"/>
          <w:b/>
          <w:sz w:val="24"/>
          <w:szCs w:val="24"/>
          <w:vertAlign w:val="superscript"/>
          <w:lang w:val="es-ES"/>
        </w:rPr>
        <w:t>19</w:t>
      </w:r>
      <w:r w:rsidRPr="00912E5A">
        <w:rPr>
          <w:rFonts w:ascii="Arial" w:hAnsi="Arial" w:cs="Arial"/>
          <w:b/>
          <w:sz w:val="24"/>
          <w:szCs w:val="24"/>
          <w:vertAlign w:val="superscript"/>
          <w:lang w:val="es-ES"/>
        </w:rPr>
        <w:t>)</w:t>
      </w:r>
      <w:r w:rsidRPr="00912E5A">
        <w:rPr>
          <w:rFonts w:ascii="Arial" w:hAnsi="Arial" w:cs="Arial"/>
          <w:sz w:val="24"/>
          <w:szCs w:val="24"/>
          <w:lang w:val="es-ES"/>
        </w:rPr>
        <w:t xml:space="preserve"> Este hecho puede deberse a las características de la muestra seleccionada o puede depender de variables a la hora de realizar la toma de la PA.</w:t>
      </w:r>
    </w:p>
    <w:p w:rsidR="00912E5A" w:rsidRDefault="00912E5A" w:rsidP="00912E5A">
      <w:pPr>
        <w:jc w:val="both"/>
        <w:rPr>
          <w:rFonts w:ascii="Arial" w:hAnsi="Arial" w:cs="Arial"/>
          <w:b/>
          <w:sz w:val="24"/>
          <w:szCs w:val="24"/>
          <w:vertAlign w:val="superscript"/>
          <w:lang w:val="es-ES"/>
        </w:rPr>
      </w:pPr>
      <w:r w:rsidRPr="00912E5A">
        <w:rPr>
          <w:rFonts w:ascii="Arial" w:hAnsi="Arial" w:cs="Arial"/>
          <w:sz w:val="24"/>
          <w:szCs w:val="24"/>
          <w:lang w:val="es-ES"/>
        </w:rPr>
        <w:lastRenderedPageBreak/>
        <w:t>De manera interesante, un estudio realizado a un total de 6070 casos confirmados de dengue</w:t>
      </w:r>
      <w:r w:rsidRPr="00091A58">
        <w:rPr>
          <w:rFonts w:ascii="Arial" w:hAnsi="Arial" w:cs="Arial"/>
          <w:color w:val="92D050"/>
          <w:sz w:val="24"/>
          <w:szCs w:val="24"/>
          <w:lang w:val="es-ES"/>
        </w:rPr>
        <w:t xml:space="preserve">, </w:t>
      </w:r>
      <w:r w:rsidRPr="00091A58">
        <w:rPr>
          <w:rFonts w:ascii="Arial" w:hAnsi="Arial" w:cs="Arial"/>
          <w:b/>
          <w:sz w:val="24"/>
          <w:szCs w:val="24"/>
          <w:vertAlign w:val="superscript"/>
          <w:lang w:val="es-ES"/>
        </w:rPr>
        <w:t>(</w:t>
      </w:r>
      <w:r w:rsidR="00091A58" w:rsidRPr="00091A58">
        <w:rPr>
          <w:rFonts w:ascii="Arial" w:hAnsi="Arial" w:cs="Arial"/>
          <w:b/>
          <w:sz w:val="24"/>
          <w:szCs w:val="24"/>
          <w:vertAlign w:val="superscript"/>
          <w:lang w:val="es-ES"/>
        </w:rPr>
        <w:t>25</w:t>
      </w:r>
      <w:r w:rsidRPr="00091A58">
        <w:rPr>
          <w:rFonts w:ascii="Arial" w:hAnsi="Arial" w:cs="Arial"/>
          <w:b/>
          <w:sz w:val="24"/>
          <w:szCs w:val="24"/>
          <w:vertAlign w:val="superscript"/>
          <w:lang w:val="es-ES"/>
        </w:rPr>
        <w:t xml:space="preserve">) </w:t>
      </w:r>
      <w:r w:rsidRPr="00912E5A">
        <w:rPr>
          <w:rFonts w:ascii="Arial" w:hAnsi="Arial" w:cs="Arial"/>
          <w:sz w:val="24"/>
          <w:szCs w:val="24"/>
          <w:lang w:val="es-ES"/>
        </w:rPr>
        <w:t xml:space="preserve">demostró una reducción significativamente mayor de la presión arterial sistólica en pacientes jóvenes respecto a los más viejos, durante la fase crítica de la enfermedad. En 371 jóvenes con edad menor de 30 años se detectó hipotensión </w:t>
      </w:r>
      <w:proofErr w:type="spellStart"/>
      <w:r w:rsidRPr="00912E5A">
        <w:rPr>
          <w:rFonts w:ascii="Arial" w:hAnsi="Arial" w:cs="Arial"/>
          <w:sz w:val="24"/>
          <w:szCs w:val="24"/>
          <w:lang w:val="es-ES"/>
        </w:rPr>
        <w:t>ortostática</w:t>
      </w:r>
      <w:proofErr w:type="spellEnd"/>
      <w:r w:rsidRPr="00912E5A">
        <w:rPr>
          <w:rFonts w:ascii="Arial" w:hAnsi="Arial" w:cs="Arial"/>
          <w:sz w:val="24"/>
          <w:szCs w:val="24"/>
          <w:lang w:val="es-ES"/>
        </w:rPr>
        <w:t xml:space="preserve"> inicial en el 7% por lo que este no es un fenómeno infrecuente a estas edades. </w:t>
      </w:r>
      <w:r w:rsidRPr="00912E5A">
        <w:rPr>
          <w:rFonts w:ascii="Arial" w:hAnsi="Arial" w:cs="Arial"/>
          <w:b/>
          <w:sz w:val="24"/>
          <w:szCs w:val="24"/>
          <w:vertAlign w:val="superscript"/>
          <w:lang w:val="es-ES"/>
        </w:rPr>
        <w:t>(</w:t>
      </w:r>
      <w:r w:rsidR="00091A58" w:rsidRPr="00091A58">
        <w:rPr>
          <w:rFonts w:ascii="Arial" w:hAnsi="Arial" w:cs="Arial"/>
          <w:b/>
          <w:color w:val="92D050"/>
          <w:sz w:val="24"/>
          <w:szCs w:val="24"/>
          <w:vertAlign w:val="superscript"/>
          <w:lang w:val="es-ES"/>
        </w:rPr>
        <w:t>26</w:t>
      </w:r>
      <w:r w:rsidRPr="00091A58">
        <w:rPr>
          <w:rFonts w:ascii="Arial" w:hAnsi="Arial" w:cs="Arial"/>
          <w:b/>
          <w:color w:val="92D050"/>
          <w:sz w:val="24"/>
          <w:szCs w:val="24"/>
          <w:vertAlign w:val="superscript"/>
          <w:lang w:val="es-ES"/>
        </w:rPr>
        <w:t>)</w:t>
      </w:r>
    </w:p>
    <w:p w:rsidR="007B4EFC" w:rsidRPr="007B4EFC" w:rsidRDefault="007B4EFC" w:rsidP="007B4EFC">
      <w:pPr>
        <w:jc w:val="both"/>
        <w:rPr>
          <w:rFonts w:ascii="Arial" w:hAnsi="Arial" w:cs="Arial"/>
          <w:b/>
          <w:i/>
          <w:sz w:val="24"/>
          <w:szCs w:val="24"/>
          <w:lang w:val="es-CO"/>
        </w:rPr>
      </w:pPr>
      <w:r w:rsidRPr="007B4EFC">
        <w:rPr>
          <w:rFonts w:ascii="Arial" w:hAnsi="Arial" w:cs="Arial"/>
          <w:b/>
          <w:sz w:val="24"/>
          <w:szCs w:val="24"/>
          <w:lang w:val="es-CO"/>
        </w:rPr>
        <w:t xml:space="preserve">Tabla 4. </w:t>
      </w:r>
      <w:r w:rsidRPr="007B4EFC">
        <w:rPr>
          <w:rFonts w:ascii="Arial" w:hAnsi="Arial" w:cs="Arial"/>
          <w:sz w:val="24"/>
          <w:szCs w:val="24"/>
          <w:lang w:val="es-CO"/>
        </w:rPr>
        <w:t xml:space="preserve">Distribución de los pacientes según manifestaciones clínicas y presencia o no de hipotensión </w:t>
      </w:r>
      <w:proofErr w:type="spellStart"/>
      <w:r w:rsidRPr="007B4EFC">
        <w:rPr>
          <w:rFonts w:ascii="Arial" w:hAnsi="Arial" w:cs="Arial"/>
          <w:sz w:val="24"/>
          <w:szCs w:val="24"/>
          <w:lang w:val="es-CO"/>
        </w:rPr>
        <w:t>ortostática</w:t>
      </w:r>
      <w:proofErr w:type="spellEnd"/>
      <w:r w:rsidRPr="007B4EFC">
        <w:rPr>
          <w:rFonts w:ascii="Arial" w:hAnsi="Arial" w:cs="Arial"/>
          <w:sz w:val="24"/>
          <w:szCs w:val="24"/>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9"/>
        <w:gridCol w:w="1577"/>
        <w:gridCol w:w="1509"/>
        <w:gridCol w:w="1554"/>
        <w:gridCol w:w="1779"/>
      </w:tblGrid>
      <w:tr w:rsidR="007B4EFC" w:rsidRPr="007B4EFC" w:rsidTr="001600B6">
        <w:trPr>
          <w:trHeight w:val="542"/>
          <w:jc w:val="center"/>
        </w:trPr>
        <w:tc>
          <w:tcPr>
            <w:tcW w:w="2460" w:type="dxa"/>
            <w:vMerge w:val="restart"/>
            <w:tcBorders>
              <w:top w:val="single" w:sz="12" w:space="0" w:color="auto"/>
              <w:lef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Manifestaciones clínicas</w:t>
            </w:r>
          </w:p>
        </w:tc>
        <w:tc>
          <w:tcPr>
            <w:tcW w:w="3318" w:type="dxa"/>
            <w:gridSpan w:val="2"/>
            <w:tcBorders>
              <w:top w:val="single" w:sz="12" w:space="0" w:color="auto"/>
              <w:bottom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 xml:space="preserve">Hipotensión </w:t>
            </w:r>
            <w:proofErr w:type="spellStart"/>
            <w:r w:rsidRPr="007B4EFC">
              <w:rPr>
                <w:rFonts w:ascii="Arial" w:hAnsi="Arial" w:cs="Arial"/>
                <w:b/>
                <w:sz w:val="24"/>
                <w:szCs w:val="24"/>
                <w:lang w:val="es-CO"/>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Total</w:t>
            </w:r>
          </w:p>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n=139</w:t>
            </w:r>
          </w:p>
        </w:tc>
        <w:tc>
          <w:tcPr>
            <w:tcW w:w="2002" w:type="dxa"/>
            <w:vMerge w:val="restart"/>
            <w:tcBorders>
              <w:top w:val="single" w:sz="12" w:space="0" w:color="auto"/>
              <w:left w:val="single" w:sz="4" w:space="0" w:color="auto"/>
              <w:righ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OR (IC 95 %)</w:t>
            </w:r>
          </w:p>
        </w:tc>
      </w:tr>
      <w:tr w:rsidR="007B4EFC" w:rsidRPr="007B4EFC" w:rsidTr="001600B6">
        <w:trPr>
          <w:trHeight w:val="691"/>
          <w:jc w:val="center"/>
        </w:trPr>
        <w:tc>
          <w:tcPr>
            <w:tcW w:w="2460" w:type="dxa"/>
            <w:vMerge/>
            <w:tcBorders>
              <w:left w:val="single" w:sz="12"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Si n=34</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No n=105</w:t>
            </w:r>
          </w:p>
        </w:tc>
        <w:tc>
          <w:tcPr>
            <w:tcW w:w="1672" w:type="dxa"/>
            <w:vMerge/>
            <w:tcBorders>
              <w:bottom w:val="single" w:sz="12" w:space="0" w:color="auto"/>
              <w:right w:val="single" w:sz="4" w:space="0" w:color="auto"/>
            </w:tcBorders>
            <w:shd w:val="clear" w:color="auto" w:fill="auto"/>
          </w:tcPr>
          <w:p w:rsidR="007B4EFC" w:rsidRPr="007B4EFC" w:rsidRDefault="007B4EFC" w:rsidP="007B4EFC">
            <w:pPr>
              <w:jc w:val="both"/>
              <w:rPr>
                <w:rFonts w:ascii="Arial" w:hAnsi="Arial" w:cs="Arial"/>
                <w:b/>
                <w:sz w:val="24"/>
                <w:szCs w:val="24"/>
                <w:lang w:val="es-CO"/>
              </w:rPr>
            </w:pPr>
          </w:p>
        </w:tc>
        <w:tc>
          <w:tcPr>
            <w:tcW w:w="2002" w:type="dxa"/>
            <w:vMerge/>
            <w:tcBorders>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b/>
                <w:sz w:val="24"/>
                <w:szCs w:val="24"/>
                <w:lang w:val="es-CO"/>
              </w:rPr>
            </w:pPr>
          </w:p>
        </w:tc>
      </w:tr>
      <w:tr w:rsidR="007B4EFC" w:rsidRPr="007B4EFC" w:rsidTr="001600B6">
        <w:trPr>
          <w:jc w:val="center"/>
        </w:trPr>
        <w:tc>
          <w:tcPr>
            <w:tcW w:w="2460" w:type="dxa"/>
            <w:tcBorders>
              <w:top w:val="single" w:sz="12" w:space="0" w:color="auto"/>
              <w:lef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Fiebre</w:t>
            </w:r>
          </w:p>
        </w:tc>
        <w:tc>
          <w:tcPr>
            <w:tcW w:w="1701"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32 (94,1%)</w:t>
            </w:r>
          </w:p>
        </w:tc>
        <w:tc>
          <w:tcPr>
            <w:tcW w:w="1617"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104 (99,9%)</w:t>
            </w:r>
          </w:p>
        </w:tc>
        <w:tc>
          <w:tcPr>
            <w:tcW w:w="1672" w:type="dxa"/>
            <w:tcBorders>
              <w:top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136 (97,8%)</w:t>
            </w:r>
          </w:p>
        </w:tc>
        <w:tc>
          <w:tcPr>
            <w:tcW w:w="2002" w:type="dxa"/>
            <w:tcBorders>
              <w:top w:val="single" w:sz="12" w:space="0" w:color="auto"/>
              <w:left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0,35 (0,15-0,83)</w:t>
            </w:r>
          </w:p>
        </w:tc>
      </w:tr>
      <w:tr w:rsidR="007B4EFC" w:rsidRPr="007B4EFC" w:rsidTr="001600B6">
        <w:trPr>
          <w:trHeight w:val="599"/>
          <w:jc w:val="center"/>
        </w:trPr>
        <w:tc>
          <w:tcPr>
            <w:tcW w:w="2460" w:type="dxa"/>
            <w:tcBorders>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proofErr w:type="spellStart"/>
            <w:r w:rsidRPr="007B4EFC">
              <w:rPr>
                <w:rFonts w:ascii="Arial" w:hAnsi="Arial" w:cs="Arial"/>
                <w:sz w:val="24"/>
                <w:szCs w:val="24"/>
                <w:lang w:val="es-CO"/>
              </w:rPr>
              <w:t>Rash</w:t>
            </w:r>
            <w:proofErr w:type="spellEnd"/>
          </w:p>
        </w:tc>
        <w:tc>
          <w:tcPr>
            <w:tcW w:w="1701"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(23,5%)</w:t>
            </w:r>
          </w:p>
        </w:tc>
        <w:tc>
          <w:tcPr>
            <w:tcW w:w="1617"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 (10,5%)</w:t>
            </w:r>
          </w:p>
        </w:tc>
        <w:tc>
          <w:tcPr>
            <w:tcW w:w="1672" w:type="dxa"/>
            <w:tcBorders>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19 (13,7%)</w:t>
            </w:r>
          </w:p>
        </w:tc>
        <w:tc>
          <w:tcPr>
            <w:tcW w:w="2002" w:type="dxa"/>
            <w:tcBorders>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1,94 (1,04-3,64)</w:t>
            </w:r>
          </w:p>
        </w:tc>
      </w:tr>
      <w:tr w:rsidR="007B4EFC" w:rsidRPr="007B4EFC" w:rsidTr="001600B6">
        <w:trPr>
          <w:trHeight w:val="264"/>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vertAlign w:val="superscript"/>
                <w:lang w:val="es-CO"/>
              </w:rPr>
            </w:pPr>
            <w:r w:rsidRPr="007B4EFC">
              <w:rPr>
                <w:rFonts w:ascii="Arial" w:hAnsi="Arial" w:cs="Arial"/>
                <w:sz w:val="24"/>
                <w:szCs w:val="24"/>
                <w:lang w:val="es-CO"/>
              </w:rPr>
              <w:t xml:space="preserve">Dolor retro orbitario </w:t>
            </w:r>
            <w:r w:rsidRPr="007B4EFC">
              <w:rPr>
                <w:rFonts w:ascii="Arial" w:hAnsi="Arial" w:cs="Arial"/>
                <w:sz w:val="24"/>
                <w:szCs w:val="24"/>
                <w:vertAlign w:val="superscript"/>
                <w:lang w:val="es-CO"/>
              </w:rPr>
              <w:t>a</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30 (88,2%)</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75 (71,4%)</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105 (75,5%)</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2,43 (0,92-6,40)</w:t>
            </w:r>
          </w:p>
        </w:tc>
      </w:tr>
      <w:tr w:rsidR="007B4EFC" w:rsidRPr="007B4EFC" w:rsidTr="001600B6">
        <w:trPr>
          <w:trHeight w:val="529"/>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proofErr w:type="spellStart"/>
            <w:r w:rsidRPr="007B4EFC">
              <w:rPr>
                <w:rFonts w:ascii="Arial" w:hAnsi="Arial" w:cs="Arial"/>
                <w:sz w:val="24"/>
                <w:szCs w:val="24"/>
                <w:lang w:val="es-CO"/>
              </w:rPr>
              <w:t>Mioartralgias</w:t>
            </w:r>
            <w:proofErr w:type="spellEnd"/>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30 (88,2%)</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84 (80,0%)</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114 (82,0%)</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1,65 (0,64-4,25)</w:t>
            </w:r>
          </w:p>
        </w:tc>
      </w:tr>
      <w:tr w:rsidR="007B4EFC" w:rsidRPr="007B4EFC" w:rsidTr="001600B6">
        <w:trPr>
          <w:trHeight w:val="529"/>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Cefalea</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27 (79,4%)</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72 (68,6%)</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99 (71,2%)</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1,56 (0,74-3,29)</w:t>
            </w:r>
          </w:p>
        </w:tc>
      </w:tr>
      <w:tr w:rsidR="007B4EFC" w:rsidRPr="007B4EFC" w:rsidTr="001600B6">
        <w:trPr>
          <w:trHeight w:val="380"/>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Sabor metálico</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(23,5%)</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36 (34,3%)</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44 (31,7%)</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0,66 (0,33-1,35)</w:t>
            </w:r>
          </w:p>
        </w:tc>
      </w:tr>
      <w:tr w:rsidR="007B4EFC" w:rsidRPr="007B4EFC" w:rsidTr="001600B6">
        <w:trPr>
          <w:trHeight w:val="599"/>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vertAlign w:val="superscript"/>
                <w:lang w:val="es-CO"/>
              </w:rPr>
            </w:pPr>
            <w:r w:rsidRPr="007B4EFC">
              <w:rPr>
                <w:rFonts w:ascii="Arial" w:hAnsi="Arial" w:cs="Arial"/>
                <w:sz w:val="24"/>
                <w:szCs w:val="24"/>
                <w:lang w:val="es-CO"/>
              </w:rPr>
              <w:t xml:space="preserve">Dolor abdominal </w:t>
            </w:r>
            <w:r w:rsidRPr="007B4EFC">
              <w:rPr>
                <w:rFonts w:ascii="Arial" w:hAnsi="Arial" w:cs="Arial"/>
                <w:sz w:val="24"/>
                <w:szCs w:val="24"/>
                <w:vertAlign w:val="superscript"/>
                <w:lang w:val="es-CO"/>
              </w:rPr>
              <w:t>b</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(23,5%)</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5 (4,8%)</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13 (9,4%)</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2,98 (1,72-5,17)</w:t>
            </w:r>
          </w:p>
        </w:tc>
      </w:tr>
      <w:tr w:rsidR="007B4EFC" w:rsidRPr="007B4EFC" w:rsidTr="001600B6">
        <w:trPr>
          <w:trHeight w:val="265"/>
          <w:jc w:val="center"/>
        </w:trPr>
        <w:tc>
          <w:tcPr>
            <w:tcW w:w="2460" w:type="dxa"/>
            <w:tcBorders>
              <w:top w:val="single" w:sz="4" w:space="0" w:color="auto"/>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vertAlign w:val="superscript"/>
                <w:lang w:val="es-CO"/>
              </w:rPr>
            </w:pPr>
            <w:r w:rsidRPr="007B4EFC">
              <w:rPr>
                <w:rFonts w:ascii="Arial" w:hAnsi="Arial" w:cs="Arial"/>
                <w:sz w:val="24"/>
                <w:szCs w:val="24"/>
                <w:lang w:val="es-CO"/>
              </w:rPr>
              <w:t xml:space="preserve">Vómitos </w:t>
            </w:r>
            <w:r w:rsidRPr="007B4EFC">
              <w:rPr>
                <w:rFonts w:ascii="Arial" w:hAnsi="Arial" w:cs="Arial"/>
                <w:sz w:val="24"/>
                <w:szCs w:val="24"/>
                <w:vertAlign w:val="superscript"/>
                <w:lang w:val="es-CO"/>
              </w:rPr>
              <w:t>b</w:t>
            </w: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(23,5%)</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5 (4,8%)</w:t>
            </w:r>
          </w:p>
        </w:tc>
        <w:tc>
          <w:tcPr>
            <w:tcW w:w="1672" w:type="dxa"/>
            <w:tcBorders>
              <w:top w:val="single" w:sz="4" w:space="0" w:color="auto"/>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13 (9,4%)</w:t>
            </w:r>
          </w:p>
        </w:tc>
        <w:tc>
          <w:tcPr>
            <w:tcW w:w="2002" w:type="dxa"/>
            <w:tcBorders>
              <w:top w:val="single" w:sz="4" w:space="0" w:color="auto"/>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2,98 (1,72-5,17)</w:t>
            </w:r>
          </w:p>
        </w:tc>
      </w:tr>
    </w:tbl>
    <w:p w:rsidR="007B4EFC" w:rsidRPr="007B4EFC" w:rsidRDefault="007B4EFC" w:rsidP="007B4EFC">
      <w:pPr>
        <w:jc w:val="both"/>
        <w:rPr>
          <w:rFonts w:ascii="Arial" w:hAnsi="Arial" w:cs="Arial"/>
          <w:b/>
          <w:sz w:val="24"/>
          <w:szCs w:val="24"/>
          <w:lang w:val="es-CO"/>
        </w:rPr>
      </w:pPr>
      <w:proofErr w:type="gramStart"/>
      <w:r w:rsidRPr="007B4EFC">
        <w:rPr>
          <w:rFonts w:ascii="Arial" w:hAnsi="Arial" w:cs="Arial"/>
          <w:b/>
          <w:sz w:val="24"/>
          <w:szCs w:val="24"/>
          <w:vertAlign w:val="superscript"/>
          <w:lang w:val="es-AR"/>
        </w:rPr>
        <w:t>a</w:t>
      </w:r>
      <w:proofErr w:type="gramEnd"/>
      <w:r w:rsidRPr="007B4EFC">
        <w:rPr>
          <w:rFonts w:ascii="Arial" w:hAnsi="Arial" w:cs="Arial"/>
          <w:b/>
          <w:sz w:val="24"/>
          <w:szCs w:val="24"/>
          <w:vertAlign w:val="superscript"/>
          <w:lang w:val="es-AR"/>
        </w:rPr>
        <w:t xml:space="preserve"> </w:t>
      </w:r>
      <w:r w:rsidRPr="007B4EFC">
        <w:rPr>
          <w:rFonts w:ascii="Arial" w:hAnsi="Arial" w:cs="Arial"/>
          <w:b/>
          <w:sz w:val="24"/>
          <w:szCs w:val="24"/>
          <w:lang w:val="es-CO"/>
        </w:rPr>
        <w:t>X</w:t>
      </w:r>
      <w:r w:rsidRPr="007B4EFC">
        <w:rPr>
          <w:rFonts w:ascii="Arial" w:hAnsi="Arial" w:cs="Arial"/>
          <w:b/>
          <w:sz w:val="24"/>
          <w:szCs w:val="24"/>
          <w:vertAlign w:val="superscript"/>
          <w:lang w:val="es-CO"/>
        </w:rPr>
        <w:t>2</w:t>
      </w:r>
      <w:r w:rsidRPr="007B4EFC">
        <w:rPr>
          <w:rFonts w:ascii="Arial" w:hAnsi="Arial" w:cs="Arial"/>
          <w:b/>
          <w:sz w:val="24"/>
          <w:szCs w:val="24"/>
          <w:lang w:val="es-CO"/>
        </w:rPr>
        <w:t xml:space="preserve">=3,926; p=0,035  </w:t>
      </w:r>
    </w:p>
    <w:p w:rsidR="007B4EFC" w:rsidRPr="007B4EFC" w:rsidRDefault="007B4EFC" w:rsidP="007B4EFC">
      <w:pPr>
        <w:jc w:val="both"/>
        <w:rPr>
          <w:rFonts w:ascii="Arial" w:hAnsi="Arial" w:cs="Arial"/>
          <w:b/>
          <w:sz w:val="24"/>
          <w:szCs w:val="24"/>
          <w:lang w:val="es-CO"/>
        </w:rPr>
      </w:pPr>
      <w:proofErr w:type="gramStart"/>
      <w:r w:rsidRPr="007B4EFC">
        <w:rPr>
          <w:rFonts w:ascii="Arial" w:hAnsi="Arial" w:cs="Arial"/>
          <w:b/>
          <w:sz w:val="24"/>
          <w:szCs w:val="24"/>
          <w:vertAlign w:val="superscript"/>
          <w:lang w:val="es-AR"/>
        </w:rPr>
        <w:t>b</w:t>
      </w:r>
      <w:proofErr w:type="gramEnd"/>
      <w:r w:rsidRPr="007B4EFC">
        <w:rPr>
          <w:rFonts w:ascii="Arial" w:hAnsi="Arial" w:cs="Arial"/>
          <w:b/>
          <w:sz w:val="24"/>
          <w:szCs w:val="24"/>
          <w:vertAlign w:val="superscript"/>
          <w:lang w:val="es-AR"/>
        </w:rPr>
        <w:t xml:space="preserve">  </w:t>
      </w:r>
      <w:r w:rsidRPr="007B4EFC">
        <w:rPr>
          <w:rFonts w:ascii="Arial" w:hAnsi="Arial" w:cs="Arial"/>
          <w:b/>
          <w:sz w:val="24"/>
          <w:szCs w:val="24"/>
          <w:lang w:val="es-CO"/>
        </w:rPr>
        <w:t>X</w:t>
      </w:r>
      <w:r w:rsidRPr="007B4EFC">
        <w:rPr>
          <w:rFonts w:ascii="Arial" w:hAnsi="Arial" w:cs="Arial"/>
          <w:b/>
          <w:sz w:val="24"/>
          <w:szCs w:val="24"/>
          <w:vertAlign w:val="superscript"/>
          <w:lang w:val="es-CO"/>
        </w:rPr>
        <w:t>2</w:t>
      </w:r>
      <w:r w:rsidRPr="007B4EFC">
        <w:rPr>
          <w:rFonts w:ascii="Arial" w:hAnsi="Arial" w:cs="Arial"/>
          <w:b/>
          <w:sz w:val="24"/>
          <w:szCs w:val="24"/>
          <w:lang w:val="es-CO"/>
        </w:rPr>
        <w:t xml:space="preserve">=10,670; p=0,003  </w:t>
      </w:r>
    </w:p>
    <w:p w:rsidR="007B4EFC" w:rsidRDefault="007B4EFC" w:rsidP="007B4EFC">
      <w:pPr>
        <w:jc w:val="both"/>
        <w:rPr>
          <w:rFonts w:ascii="Arial" w:hAnsi="Arial" w:cs="Arial"/>
          <w:sz w:val="24"/>
          <w:szCs w:val="24"/>
          <w:lang w:val="es-CO"/>
        </w:rPr>
      </w:pPr>
      <w:r w:rsidRPr="007B4EFC">
        <w:rPr>
          <w:rFonts w:ascii="Arial" w:hAnsi="Arial" w:cs="Arial"/>
          <w:sz w:val="24"/>
          <w:szCs w:val="24"/>
          <w:lang w:val="es-CO"/>
        </w:rPr>
        <w:t xml:space="preserve">La fiebre (97,8%), las </w:t>
      </w:r>
      <w:proofErr w:type="spellStart"/>
      <w:r w:rsidRPr="007B4EFC">
        <w:rPr>
          <w:rFonts w:ascii="Arial" w:hAnsi="Arial" w:cs="Arial"/>
          <w:sz w:val="24"/>
          <w:szCs w:val="24"/>
          <w:lang w:val="es-CO"/>
        </w:rPr>
        <w:t>mioartralgias</w:t>
      </w:r>
      <w:proofErr w:type="spellEnd"/>
      <w:r w:rsidRPr="007B4EFC">
        <w:rPr>
          <w:rFonts w:ascii="Arial" w:hAnsi="Arial" w:cs="Arial"/>
          <w:sz w:val="24"/>
          <w:szCs w:val="24"/>
          <w:lang w:val="es-CO"/>
        </w:rPr>
        <w:t xml:space="preserve"> (82,0%), el dolor retro orbitario (75,5%) y la cefalea (71,2%) fueron las manifestaciones clínicas encontradas con mayor frecuencia. El porcentaje de pacientes con dolor abdominal y vómitos (23,5% frente </w:t>
      </w:r>
      <w:r w:rsidRPr="007B4EFC">
        <w:rPr>
          <w:rFonts w:ascii="Arial" w:hAnsi="Arial" w:cs="Arial"/>
          <w:sz w:val="24"/>
          <w:szCs w:val="24"/>
          <w:lang w:val="es-CO"/>
        </w:rPr>
        <w:lastRenderedPageBreak/>
        <w:t xml:space="preserve">a 4,8% en ambos casos) fue significativamente mayor en el grupo de casos con HO. La HO se relacionó con una probabilidad 2,98 veces mayor de dolor abdominal y de vómitos. (Tabla 4). </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 xml:space="preserve">Las principales manifestaciones clínicas en el presente estudio fueron la fiebre, las </w:t>
      </w:r>
      <w:proofErr w:type="spellStart"/>
      <w:r w:rsidRPr="007B4EFC">
        <w:rPr>
          <w:rFonts w:ascii="Arial" w:hAnsi="Arial" w:cs="Arial"/>
          <w:sz w:val="24"/>
          <w:szCs w:val="24"/>
          <w:lang w:val="es-CO"/>
        </w:rPr>
        <w:t>mioartralgias</w:t>
      </w:r>
      <w:proofErr w:type="spellEnd"/>
      <w:r w:rsidRPr="007B4EFC">
        <w:rPr>
          <w:rFonts w:ascii="Arial" w:hAnsi="Arial" w:cs="Arial"/>
          <w:sz w:val="24"/>
          <w:szCs w:val="24"/>
          <w:lang w:val="es-CO"/>
        </w:rPr>
        <w:t xml:space="preserve">, el dolor retro orbitario y la cefalea, por ese orden. De manera similar, en un estudio realizado en México por Martínez et al, </w:t>
      </w:r>
      <w:r w:rsidRPr="007B4EFC">
        <w:rPr>
          <w:rFonts w:ascii="Arial" w:hAnsi="Arial" w:cs="Arial"/>
          <w:b/>
          <w:sz w:val="24"/>
          <w:szCs w:val="24"/>
          <w:vertAlign w:val="superscript"/>
          <w:lang w:val="es-CO"/>
        </w:rPr>
        <w:t>(</w:t>
      </w:r>
      <w:r w:rsidR="002746B7">
        <w:rPr>
          <w:rFonts w:ascii="Arial" w:hAnsi="Arial" w:cs="Arial"/>
          <w:b/>
          <w:sz w:val="24"/>
          <w:szCs w:val="24"/>
          <w:vertAlign w:val="superscript"/>
          <w:lang w:val="es-CO"/>
        </w:rPr>
        <w:t>30</w:t>
      </w:r>
      <w:r w:rsidRPr="007B4EFC">
        <w:rPr>
          <w:rFonts w:ascii="Arial" w:hAnsi="Arial" w:cs="Arial"/>
          <w:b/>
          <w:sz w:val="24"/>
          <w:szCs w:val="24"/>
          <w:vertAlign w:val="superscript"/>
          <w:lang w:val="es-CO"/>
        </w:rPr>
        <w:t xml:space="preserve">) </w:t>
      </w:r>
      <w:r w:rsidRPr="007B4EFC">
        <w:rPr>
          <w:rFonts w:ascii="Arial" w:hAnsi="Arial" w:cs="Arial"/>
          <w:sz w:val="24"/>
          <w:szCs w:val="24"/>
          <w:lang w:val="es-CO"/>
        </w:rPr>
        <w:t xml:space="preserve">los signos y síntomas más frecuentes fueron la fiebre, la cefalea, las mialgias, las artralgias y el dolor retro-ocular. Por su parte, Real et al </w:t>
      </w:r>
      <w:r w:rsidRPr="007B4EFC">
        <w:rPr>
          <w:rFonts w:ascii="Arial" w:hAnsi="Arial" w:cs="Arial"/>
          <w:b/>
          <w:sz w:val="24"/>
          <w:szCs w:val="24"/>
          <w:vertAlign w:val="superscript"/>
          <w:lang w:val="es-CO"/>
        </w:rPr>
        <w:t>(</w:t>
      </w:r>
      <w:r w:rsidR="002746B7" w:rsidRPr="002746B7">
        <w:rPr>
          <w:rFonts w:ascii="Arial" w:hAnsi="Arial" w:cs="Arial"/>
          <w:b/>
          <w:color w:val="00B0F0"/>
          <w:sz w:val="24"/>
          <w:szCs w:val="24"/>
          <w:vertAlign w:val="superscript"/>
          <w:lang w:val="es-CO"/>
        </w:rPr>
        <w:t>31</w:t>
      </w:r>
      <w:r w:rsidRPr="007B4EFC">
        <w:rPr>
          <w:rFonts w:ascii="Arial" w:hAnsi="Arial" w:cs="Arial"/>
          <w:b/>
          <w:sz w:val="24"/>
          <w:szCs w:val="24"/>
          <w:vertAlign w:val="superscript"/>
          <w:lang w:val="es-CO"/>
        </w:rPr>
        <w:t>)</w:t>
      </w:r>
      <w:r w:rsidRPr="007B4EFC">
        <w:rPr>
          <w:rFonts w:ascii="Arial" w:hAnsi="Arial" w:cs="Arial"/>
          <w:sz w:val="24"/>
          <w:szCs w:val="24"/>
          <w:lang w:val="es-CO"/>
        </w:rPr>
        <w:t xml:space="preserve"> en un caracterización clínica del dengue con signos de alarma y grave, en hospitales de Guayaquil, reportaron la fiebre en todos los casos, mientras que el dolor abdominal (78,0%), las artralgias (76,8%), la cefalea (73,2%) y las mialgias (70,7%), fueron otros síntomas frecuentes. </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En un estudio realizado en el Municipio 10 de Octubre, </w:t>
      </w:r>
      <w:r w:rsidRPr="007B4EFC">
        <w:rPr>
          <w:rFonts w:ascii="Arial" w:hAnsi="Arial" w:cs="Arial"/>
          <w:b/>
          <w:sz w:val="24"/>
          <w:szCs w:val="24"/>
          <w:vertAlign w:val="superscript"/>
          <w:lang w:val="es-ES"/>
        </w:rPr>
        <w:t>(</w:t>
      </w:r>
      <w:r w:rsidR="00A87633">
        <w:rPr>
          <w:rFonts w:ascii="Arial" w:hAnsi="Arial" w:cs="Arial"/>
          <w:b/>
          <w:sz w:val="24"/>
          <w:szCs w:val="24"/>
          <w:vertAlign w:val="superscript"/>
          <w:lang w:val="es-ES"/>
        </w:rPr>
        <w:t>14</w:t>
      </w:r>
      <w:r w:rsidRPr="007B4EFC">
        <w:rPr>
          <w:rFonts w:ascii="Arial" w:hAnsi="Arial" w:cs="Arial"/>
          <w:b/>
          <w:sz w:val="24"/>
          <w:szCs w:val="24"/>
          <w:vertAlign w:val="superscript"/>
          <w:lang w:val="es-ES"/>
        </w:rPr>
        <w:t xml:space="preserve">) </w:t>
      </w:r>
      <w:r w:rsidRPr="007B4EFC">
        <w:rPr>
          <w:rFonts w:ascii="Arial" w:hAnsi="Arial" w:cs="Arial"/>
          <w:sz w:val="24"/>
          <w:szCs w:val="24"/>
          <w:lang w:val="es-ES"/>
        </w:rPr>
        <w:t xml:space="preserve">la fiebre estuvo presente en todos los pacientes, mientras que la cefalea (67,9%), la artralgia (59,9%) y la mialgia (43,6%) fueron otros síntomas acompañantes frecuentes. </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Un hallazgo significativo en este estudio es que, de todas las manifestaciones clínicas incluidas, solo se identificó una estrecha relación entre la HO y manifestaciones consideradas signos de alarma: el dolor abdominal y los vómitos. Este resultado refuerza el valor pronóstico que tiene la identificación de HO en un paciente confirmado con dengue. </w:t>
      </w:r>
    </w:p>
    <w:p w:rsidR="007B4EFC" w:rsidRDefault="007B4EFC" w:rsidP="007B4EFC">
      <w:pPr>
        <w:jc w:val="both"/>
        <w:rPr>
          <w:rFonts w:ascii="Arial" w:hAnsi="Arial" w:cs="Arial"/>
          <w:sz w:val="24"/>
          <w:szCs w:val="24"/>
          <w:lang w:val="es-CO"/>
        </w:rPr>
      </w:pPr>
    </w:p>
    <w:p w:rsidR="007B4EFC" w:rsidRPr="0071312C" w:rsidRDefault="007B4EFC" w:rsidP="007B4EFC">
      <w:pPr>
        <w:spacing w:after="0" w:line="480" w:lineRule="auto"/>
        <w:jc w:val="both"/>
        <w:rPr>
          <w:rFonts w:ascii="Arial" w:hAnsi="Arial" w:cs="Arial"/>
          <w:i/>
          <w:sz w:val="24"/>
          <w:szCs w:val="24"/>
          <w:lang w:val="es-CO" w:bidi="en-US"/>
        </w:rPr>
      </w:pPr>
      <w:r w:rsidRPr="007B4EFC">
        <w:rPr>
          <w:rFonts w:ascii="Arial" w:hAnsi="Arial" w:cs="Arial"/>
          <w:b/>
          <w:sz w:val="24"/>
          <w:szCs w:val="24"/>
          <w:lang w:val="es-CO" w:bidi="en-US"/>
        </w:rPr>
        <w:t>Tabla 5.</w:t>
      </w:r>
      <w:r w:rsidRPr="0071312C">
        <w:rPr>
          <w:rFonts w:ascii="Arial" w:hAnsi="Arial" w:cs="Arial"/>
          <w:sz w:val="24"/>
          <w:szCs w:val="24"/>
          <w:lang w:val="es-CO" w:bidi="en-US"/>
        </w:rPr>
        <w:t xml:space="preserve"> Distribución de los pacientes según </w:t>
      </w:r>
      <w:r>
        <w:rPr>
          <w:rFonts w:ascii="Arial" w:hAnsi="Arial" w:cs="Arial"/>
          <w:sz w:val="24"/>
          <w:szCs w:val="24"/>
          <w:lang w:val="es-CO" w:bidi="en-US"/>
        </w:rPr>
        <w:t>comorbilidades</w:t>
      </w:r>
      <w:r w:rsidRPr="0071312C">
        <w:rPr>
          <w:rFonts w:ascii="Arial" w:hAnsi="Arial" w:cs="Arial"/>
          <w:sz w:val="24"/>
          <w:szCs w:val="24"/>
          <w:lang w:val="es-CO" w:bidi="en-US"/>
        </w:rPr>
        <w:t xml:space="preserve"> y presencia o no de </w:t>
      </w:r>
      <w:r>
        <w:rPr>
          <w:rFonts w:ascii="Arial" w:hAnsi="Arial" w:cs="Arial"/>
          <w:sz w:val="24"/>
          <w:szCs w:val="24"/>
          <w:lang w:val="es-CO" w:bidi="en-US"/>
        </w:rPr>
        <w:t xml:space="preserve">hipotensión </w:t>
      </w:r>
      <w:proofErr w:type="spellStart"/>
      <w:r>
        <w:rPr>
          <w:rFonts w:ascii="Arial" w:hAnsi="Arial" w:cs="Arial"/>
          <w:sz w:val="24"/>
          <w:szCs w:val="24"/>
          <w:lang w:val="es-CO" w:bidi="en-US"/>
        </w:rPr>
        <w:t>ortostática</w:t>
      </w:r>
      <w:proofErr w:type="spellEnd"/>
      <w:r w:rsidRPr="0071312C">
        <w:rPr>
          <w:rFonts w:ascii="Arial" w:hAnsi="Arial" w:cs="Arial"/>
          <w:sz w:val="24"/>
          <w:szCs w:val="24"/>
          <w:lang w:val="es-CO" w:bidi="en-US"/>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1560"/>
        <w:gridCol w:w="1515"/>
        <w:gridCol w:w="1560"/>
        <w:gridCol w:w="1791"/>
      </w:tblGrid>
      <w:tr w:rsidR="007B4EFC" w:rsidRPr="0071312C" w:rsidTr="001600B6">
        <w:trPr>
          <w:trHeight w:val="542"/>
          <w:jc w:val="center"/>
        </w:trPr>
        <w:tc>
          <w:tcPr>
            <w:tcW w:w="2460" w:type="dxa"/>
            <w:vMerge w:val="restart"/>
            <w:tcBorders>
              <w:top w:val="single" w:sz="12" w:space="0" w:color="auto"/>
              <w:left w:val="single" w:sz="12" w:space="0" w:color="auto"/>
            </w:tcBorders>
            <w:shd w:val="clear" w:color="auto" w:fill="BFBFBF"/>
          </w:tcPr>
          <w:p w:rsidR="007B4EFC" w:rsidRPr="0071312C" w:rsidRDefault="007B4EFC" w:rsidP="001600B6">
            <w:pPr>
              <w:spacing w:after="0" w:line="480" w:lineRule="auto"/>
              <w:jc w:val="center"/>
              <w:rPr>
                <w:rFonts w:ascii="Arial" w:hAnsi="Arial" w:cs="Arial"/>
                <w:b/>
                <w:sz w:val="24"/>
                <w:szCs w:val="24"/>
                <w:lang w:val="es-CO" w:bidi="en-US"/>
              </w:rPr>
            </w:pPr>
            <w:r>
              <w:rPr>
                <w:rFonts w:ascii="Arial" w:hAnsi="Arial" w:cs="Arial"/>
                <w:b/>
                <w:sz w:val="24"/>
                <w:szCs w:val="24"/>
                <w:lang w:val="es-CO" w:bidi="en-US"/>
              </w:rPr>
              <w:t>Comorbilidades</w:t>
            </w:r>
          </w:p>
        </w:tc>
        <w:tc>
          <w:tcPr>
            <w:tcW w:w="3318" w:type="dxa"/>
            <w:gridSpan w:val="2"/>
            <w:tcBorders>
              <w:top w:val="single" w:sz="12" w:space="0" w:color="auto"/>
              <w:bottom w:val="single" w:sz="4" w:space="0" w:color="auto"/>
            </w:tcBorders>
            <w:shd w:val="clear" w:color="auto" w:fill="BFBFBF"/>
          </w:tcPr>
          <w:p w:rsidR="007B4EFC" w:rsidRPr="0071312C" w:rsidRDefault="007B4EFC" w:rsidP="001600B6">
            <w:pPr>
              <w:spacing w:after="0" w:line="480" w:lineRule="auto"/>
              <w:jc w:val="center"/>
              <w:rPr>
                <w:rFonts w:ascii="Arial" w:hAnsi="Arial" w:cs="Arial"/>
                <w:b/>
                <w:sz w:val="24"/>
                <w:szCs w:val="24"/>
                <w:lang w:val="es-CO" w:bidi="en-US"/>
              </w:rPr>
            </w:pPr>
            <w:r>
              <w:rPr>
                <w:rFonts w:ascii="Arial" w:hAnsi="Arial" w:cs="Arial"/>
                <w:b/>
                <w:sz w:val="24"/>
                <w:szCs w:val="24"/>
                <w:lang w:val="es-CO" w:bidi="en-US"/>
              </w:rPr>
              <w:t xml:space="preserve">Hipotensión </w:t>
            </w:r>
            <w:proofErr w:type="spellStart"/>
            <w:r>
              <w:rPr>
                <w:rFonts w:ascii="Arial" w:hAnsi="Arial" w:cs="Arial"/>
                <w:b/>
                <w:sz w:val="24"/>
                <w:szCs w:val="24"/>
                <w:lang w:val="es-CO" w:bidi="en-US"/>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Default="007B4EFC" w:rsidP="001600B6">
            <w:pPr>
              <w:spacing w:after="0" w:line="480" w:lineRule="auto"/>
              <w:jc w:val="center"/>
              <w:rPr>
                <w:rFonts w:ascii="Arial" w:hAnsi="Arial" w:cs="Arial"/>
                <w:b/>
                <w:sz w:val="24"/>
                <w:szCs w:val="24"/>
                <w:lang w:val="es-CO" w:bidi="en-US"/>
              </w:rPr>
            </w:pPr>
            <w:r>
              <w:rPr>
                <w:rFonts w:ascii="Arial" w:hAnsi="Arial" w:cs="Arial"/>
                <w:b/>
                <w:sz w:val="24"/>
                <w:szCs w:val="24"/>
                <w:lang w:val="es-CO" w:bidi="en-US"/>
              </w:rPr>
              <w:t>Total</w:t>
            </w:r>
          </w:p>
          <w:p w:rsidR="007B4EFC" w:rsidRPr="005B2CD2" w:rsidRDefault="007B4EFC" w:rsidP="001600B6">
            <w:pPr>
              <w:spacing w:after="0" w:line="480" w:lineRule="auto"/>
              <w:jc w:val="center"/>
              <w:rPr>
                <w:rFonts w:ascii="Arial" w:hAnsi="Arial" w:cs="Arial"/>
                <w:sz w:val="24"/>
                <w:szCs w:val="24"/>
                <w:lang w:val="es-CO" w:bidi="en-US"/>
              </w:rPr>
            </w:pPr>
            <w:r w:rsidRPr="005B2CD2">
              <w:rPr>
                <w:rFonts w:ascii="Arial" w:hAnsi="Arial" w:cs="Arial"/>
                <w:sz w:val="24"/>
                <w:szCs w:val="24"/>
                <w:lang w:val="es-CO" w:bidi="en-US"/>
              </w:rPr>
              <w:t>n=139</w:t>
            </w:r>
          </w:p>
        </w:tc>
        <w:tc>
          <w:tcPr>
            <w:tcW w:w="2002" w:type="dxa"/>
            <w:vMerge w:val="restart"/>
            <w:tcBorders>
              <w:top w:val="single" w:sz="12" w:space="0" w:color="auto"/>
              <w:left w:val="single" w:sz="4" w:space="0" w:color="auto"/>
              <w:right w:val="single" w:sz="12" w:space="0" w:color="auto"/>
            </w:tcBorders>
            <w:shd w:val="clear" w:color="auto" w:fill="BFBFBF"/>
          </w:tcPr>
          <w:p w:rsidR="007B4EFC" w:rsidRPr="0071312C" w:rsidRDefault="007B4EFC" w:rsidP="001600B6">
            <w:pPr>
              <w:spacing w:after="0" w:line="480" w:lineRule="auto"/>
              <w:jc w:val="center"/>
              <w:rPr>
                <w:rFonts w:ascii="Arial" w:hAnsi="Arial" w:cs="Arial"/>
                <w:b/>
                <w:sz w:val="24"/>
                <w:szCs w:val="24"/>
                <w:lang w:val="es-CO" w:bidi="en-US"/>
              </w:rPr>
            </w:pPr>
            <w:r w:rsidRPr="0071312C">
              <w:rPr>
                <w:rFonts w:ascii="Arial" w:hAnsi="Arial" w:cs="Arial"/>
                <w:b/>
                <w:sz w:val="24"/>
                <w:szCs w:val="24"/>
                <w:lang w:val="es-CO" w:bidi="en-US"/>
              </w:rPr>
              <w:t>OR (IC 95 %)</w:t>
            </w:r>
          </w:p>
        </w:tc>
      </w:tr>
      <w:tr w:rsidR="007B4EFC" w:rsidRPr="0071312C" w:rsidTr="001600B6">
        <w:trPr>
          <w:trHeight w:val="691"/>
          <w:jc w:val="center"/>
        </w:trPr>
        <w:tc>
          <w:tcPr>
            <w:tcW w:w="2460" w:type="dxa"/>
            <w:vMerge/>
            <w:tcBorders>
              <w:left w:val="single" w:sz="12" w:space="0" w:color="auto"/>
              <w:bottom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p>
        </w:tc>
        <w:tc>
          <w:tcPr>
            <w:tcW w:w="1701" w:type="dxa"/>
            <w:tcBorders>
              <w:top w:val="single" w:sz="4" w:space="0" w:color="auto"/>
              <w:bottom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sidRPr="0071312C">
              <w:rPr>
                <w:rFonts w:ascii="Arial" w:hAnsi="Arial" w:cs="Arial"/>
                <w:sz w:val="24"/>
                <w:szCs w:val="24"/>
                <w:lang w:val="es-CO" w:bidi="en-US"/>
              </w:rPr>
              <w:t>Si n=</w:t>
            </w:r>
            <w:r>
              <w:rPr>
                <w:rFonts w:ascii="Arial" w:hAnsi="Arial" w:cs="Arial"/>
                <w:sz w:val="24"/>
                <w:szCs w:val="24"/>
                <w:lang w:val="es-CO" w:bidi="en-US"/>
              </w:rPr>
              <w:t>34</w:t>
            </w:r>
          </w:p>
        </w:tc>
        <w:tc>
          <w:tcPr>
            <w:tcW w:w="1617" w:type="dxa"/>
            <w:tcBorders>
              <w:top w:val="single" w:sz="4" w:space="0" w:color="auto"/>
              <w:bottom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sidRPr="0071312C">
              <w:rPr>
                <w:rFonts w:ascii="Arial" w:hAnsi="Arial" w:cs="Arial"/>
                <w:sz w:val="24"/>
                <w:szCs w:val="24"/>
                <w:lang w:val="es-CO" w:bidi="en-US"/>
              </w:rPr>
              <w:t>No n=1</w:t>
            </w:r>
            <w:r>
              <w:rPr>
                <w:rFonts w:ascii="Arial" w:hAnsi="Arial" w:cs="Arial"/>
                <w:sz w:val="24"/>
                <w:szCs w:val="24"/>
                <w:lang w:val="es-CO" w:bidi="en-US"/>
              </w:rPr>
              <w:t>05</w:t>
            </w:r>
          </w:p>
        </w:tc>
        <w:tc>
          <w:tcPr>
            <w:tcW w:w="1672" w:type="dxa"/>
            <w:vMerge/>
            <w:tcBorders>
              <w:bottom w:val="single" w:sz="12" w:space="0" w:color="auto"/>
              <w:right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p>
        </w:tc>
        <w:tc>
          <w:tcPr>
            <w:tcW w:w="2002" w:type="dxa"/>
            <w:vMerge/>
            <w:tcBorders>
              <w:left w:val="single" w:sz="4" w:space="0" w:color="auto"/>
              <w:bottom w:val="single" w:sz="12" w:space="0" w:color="auto"/>
              <w:righ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p>
        </w:tc>
      </w:tr>
      <w:tr w:rsidR="007B4EFC" w:rsidRPr="0071312C" w:rsidTr="001600B6">
        <w:trPr>
          <w:jc w:val="center"/>
        </w:trPr>
        <w:tc>
          <w:tcPr>
            <w:tcW w:w="2460" w:type="dxa"/>
            <w:tcBorders>
              <w:top w:val="single" w:sz="12" w:space="0" w:color="auto"/>
              <w:lef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HTA</w:t>
            </w:r>
          </w:p>
        </w:tc>
        <w:tc>
          <w:tcPr>
            <w:tcW w:w="1701" w:type="dxa"/>
            <w:tcBorders>
              <w:top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3 (8,8%)</w:t>
            </w:r>
          </w:p>
        </w:tc>
        <w:tc>
          <w:tcPr>
            <w:tcW w:w="1617" w:type="dxa"/>
            <w:tcBorders>
              <w:top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10 (9,5%)</w:t>
            </w:r>
          </w:p>
        </w:tc>
        <w:tc>
          <w:tcPr>
            <w:tcW w:w="1672" w:type="dxa"/>
            <w:tcBorders>
              <w:top w:val="single" w:sz="12" w:space="0" w:color="auto"/>
              <w:right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13 (9,4%)</w:t>
            </w:r>
          </w:p>
        </w:tc>
        <w:tc>
          <w:tcPr>
            <w:tcW w:w="2002" w:type="dxa"/>
            <w:tcBorders>
              <w:top w:val="single" w:sz="12" w:space="0" w:color="auto"/>
              <w:left w:val="single" w:sz="4" w:space="0" w:color="auto"/>
              <w:righ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0,92 (0,24-3,55)</w:t>
            </w:r>
          </w:p>
        </w:tc>
      </w:tr>
      <w:tr w:rsidR="007B4EFC" w:rsidRPr="0071312C" w:rsidTr="001600B6">
        <w:trPr>
          <w:trHeight w:val="599"/>
          <w:jc w:val="center"/>
        </w:trPr>
        <w:tc>
          <w:tcPr>
            <w:tcW w:w="2460" w:type="dxa"/>
            <w:tcBorders>
              <w:left w:val="single" w:sz="12"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Cardiopatía I.</w:t>
            </w:r>
          </w:p>
        </w:tc>
        <w:tc>
          <w:tcPr>
            <w:tcW w:w="1701" w:type="dxa"/>
            <w:tcBorders>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 (0,0%)</w:t>
            </w:r>
          </w:p>
        </w:tc>
        <w:tc>
          <w:tcPr>
            <w:tcW w:w="1617" w:type="dxa"/>
            <w:tcBorders>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 (0,0%)</w:t>
            </w:r>
          </w:p>
        </w:tc>
        <w:tc>
          <w:tcPr>
            <w:tcW w:w="1672" w:type="dxa"/>
            <w:tcBorders>
              <w:bottom w:val="single" w:sz="4" w:space="0" w:color="auto"/>
              <w:right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 (0,0%)</w:t>
            </w:r>
          </w:p>
        </w:tc>
        <w:tc>
          <w:tcPr>
            <w:tcW w:w="2002" w:type="dxa"/>
            <w:tcBorders>
              <w:left w:val="single" w:sz="4" w:space="0" w:color="auto"/>
              <w:bottom w:val="single" w:sz="4" w:space="0" w:color="auto"/>
              <w:righ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w:t>
            </w:r>
          </w:p>
        </w:tc>
      </w:tr>
      <w:tr w:rsidR="007B4EFC" w:rsidRPr="0071312C" w:rsidTr="001600B6">
        <w:trPr>
          <w:trHeight w:val="264"/>
          <w:jc w:val="center"/>
        </w:trPr>
        <w:tc>
          <w:tcPr>
            <w:tcW w:w="2460" w:type="dxa"/>
            <w:tcBorders>
              <w:top w:val="single" w:sz="4" w:space="0" w:color="auto"/>
              <w:left w:val="single" w:sz="12"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Diabetes</w:t>
            </w:r>
          </w:p>
        </w:tc>
        <w:tc>
          <w:tcPr>
            <w:tcW w:w="1701" w:type="dxa"/>
            <w:tcBorders>
              <w:top w:val="single" w:sz="4"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1 (2,9%)</w:t>
            </w:r>
          </w:p>
        </w:tc>
        <w:tc>
          <w:tcPr>
            <w:tcW w:w="1617" w:type="dxa"/>
            <w:tcBorders>
              <w:top w:val="single" w:sz="4"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5 (4,8%)</w:t>
            </w:r>
          </w:p>
        </w:tc>
        <w:tc>
          <w:tcPr>
            <w:tcW w:w="1672" w:type="dxa"/>
            <w:tcBorders>
              <w:top w:val="single" w:sz="4" w:space="0" w:color="auto"/>
              <w:bottom w:val="single" w:sz="4" w:space="0" w:color="auto"/>
              <w:right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6 (4,3%)</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0,61 (0,07-5,37)</w:t>
            </w:r>
          </w:p>
        </w:tc>
      </w:tr>
      <w:tr w:rsidR="007B4EFC" w:rsidRPr="0071312C" w:rsidTr="001600B6">
        <w:trPr>
          <w:trHeight w:val="529"/>
          <w:jc w:val="center"/>
        </w:trPr>
        <w:tc>
          <w:tcPr>
            <w:tcW w:w="2460" w:type="dxa"/>
            <w:tcBorders>
              <w:top w:val="single" w:sz="4" w:space="0" w:color="auto"/>
              <w:left w:val="single" w:sz="12"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lastRenderedPageBreak/>
              <w:t>Asma Bronquial</w:t>
            </w:r>
          </w:p>
        </w:tc>
        <w:tc>
          <w:tcPr>
            <w:tcW w:w="1701" w:type="dxa"/>
            <w:tcBorders>
              <w:top w:val="single" w:sz="4"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2 (5,9%)</w:t>
            </w:r>
          </w:p>
        </w:tc>
        <w:tc>
          <w:tcPr>
            <w:tcW w:w="1617" w:type="dxa"/>
            <w:tcBorders>
              <w:top w:val="single" w:sz="4" w:space="0" w:color="auto"/>
              <w:bottom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17 (16,2%)</w:t>
            </w:r>
          </w:p>
        </w:tc>
        <w:tc>
          <w:tcPr>
            <w:tcW w:w="1672" w:type="dxa"/>
            <w:tcBorders>
              <w:top w:val="single" w:sz="4" w:space="0" w:color="auto"/>
              <w:bottom w:val="single" w:sz="4" w:space="0" w:color="auto"/>
              <w:right w:val="single" w:sz="4"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19 (13,7%)</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1312C" w:rsidRDefault="007B4EFC" w:rsidP="001600B6">
            <w:pPr>
              <w:spacing w:after="0" w:line="480" w:lineRule="auto"/>
              <w:jc w:val="center"/>
              <w:rPr>
                <w:rFonts w:ascii="Arial" w:hAnsi="Arial" w:cs="Arial"/>
                <w:sz w:val="24"/>
                <w:szCs w:val="24"/>
                <w:lang w:val="es-CO" w:bidi="en-US"/>
              </w:rPr>
            </w:pPr>
            <w:r>
              <w:rPr>
                <w:rFonts w:ascii="Arial" w:hAnsi="Arial" w:cs="Arial"/>
                <w:sz w:val="24"/>
                <w:szCs w:val="24"/>
                <w:lang w:val="es-CO" w:bidi="en-US"/>
              </w:rPr>
              <w:t>0,32 (0,07-1,48)</w:t>
            </w:r>
          </w:p>
        </w:tc>
      </w:tr>
    </w:tbl>
    <w:p w:rsidR="007B4EFC" w:rsidRPr="00563BCD" w:rsidRDefault="007B4EFC" w:rsidP="007B4EFC">
      <w:pPr>
        <w:jc w:val="both"/>
        <w:rPr>
          <w:rFonts w:ascii="Arial" w:hAnsi="Arial" w:cs="Arial"/>
          <w:b/>
          <w:sz w:val="24"/>
          <w:szCs w:val="24"/>
          <w:lang w:val="es-AR"/>
        </w:rPr>
      </w:pPr>
    </w:p>
    <w:p w:rsidR="007B4EFC" w:rsidRDefault="007B4EFC" w:rsidP="007B4EFC">
      <w:pPr>
        <w:jc w:val="both"/>
        <w:rPr>
          <w:rFonts w:ascii="Arial" w:hAnsi="Arial" w:cs="Arial"/>
          <w:sz w:val="24"/>
          <w:szCs w:val="24"/>
          <w:lang w:val="es-AR"/>
        </w:rPr>
      </w:pPr>
      <w:r w:rsidRPr="005E6C9A">
        <w:rPr>
          <w:rFonts w:ascii="Arial" w:hAnsi="Arial" w:cs="Arial"/>
          <w:sz w:val="24"/>
          <w:szCs w:val="24"/>
          <w:lang w:val="es-AR"/>
        </w:rPr>
        <w:t>Las comorbilidades más frecuentes fueron el asma bronquial (</w:t>
      </w:r>
      <w:r>
        <w:rPr>
          <w:rFonts w:ascii="Arial" w:hAnsi="Arial" w:cs="Arial"/>
          <w:sz w:val="24"/>
          <w:szCs w:val="24"/>
          <w:lang w:val="es-AR"/>
        </w:rPr>
        <w:t>13,7%</w:t>
      </w:r>
      <w:r w:rsidRPr="005E6C9A">
        <w:rPr>
          <w:rFonts w:ascii="Arial" w:hAnsi="Arial" w:cs="Arial"/>
          <w:sz w:val="24"/>
          <w:szCs w:val="24"/>
          <w:lang w:val="es-AR"/>
        </w:rPr>
        <w:t>) y la HTA (</w:t>
      </w:r>
      <w:r>
        <w:rPr>
          <w:rFonts w:ascii="Arial" w:hAnsi="Arial" w:cs="Arial"/>
          <w:sz w:val="24"/>
          <w:szCs w:val="24"/>
          <w:lang w:val="es-AR"/>
        </w:rPr>
        <w:t>9,4%</w:t>
      </w:r>
      <w:r w:rsidRPr="005E6C9A">
        <w:rPr>
          <w:rFonts w:ascii="Arial" w:hAnsi="Arial" w:cs="Arial"/>
          <w:sz w:val="24"/>
          <w:szCs w:val="24"/>
          <w:lang w:val="es-AR"/>
        </w:rPr>
        <w:t>). No se encontraron diferencias significativas entre las diferentes comorbilidades, con los grupos de comparación de acuerdo con la presencia o no de HO</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 xml:space="preserve">En relación con las comorbilidades, en el presente estudio predominaron el asma bronquial y la HTA, en menor porcentaje a la prevalencia de la población general, lo que corresponde con la muestra mayoritariamente joven incluida en este estudio. En un estudio realizado en el Hospital Gustavo </w:t>
      </w:r>
      <w:proofErr w:type="spellStart"/>
      <w:r w:rsidRPr="007B4EFC">
        <w:rPr>
          <w:rFonts w:ascii="Arial" w:hAnsi="Arial" w:cs="Arial"/>
          <w:sz w:val="24"/>
          <w:szCs w:val="24"/>
          <w:lang w:val="es-CO"/>
        </w:rPr>
        <w:t>Aldereguía</w:t>
      </w:r>
      <w:proofErr w:type="spellEnd"/>
      <w:r w:rsidRPr="007B4EFC">
        <w:rPr>
          <w:rFonts w:ascii="Arial" w:hAnsi="Arial" w:cs="Arial"/>
          <w:sz w:val="24"/>
          <w:szCs w:val="24"/>
          <w:lang w:val="es-CO"/>
        </w:rPr>
        <w:t xml:space="preserve"> Lima </w:t>
      </w:r>
      <w:r w:rsidRPr="00E173FF">
        <w:rPr>
          <w:rFonts w:ascii="Arial" w:hAnsi="Arial" w:cs="Arial"/>
          <w:b/>
          <w:sz w:val="24"/>
          <w:szCs w:val="24"/>
          <w:vertAlign w:val="superscript"/>
          <w:lang w:val="es-CO"/>
        </w:rPr>
        <w:t>(</w:t>
      </w:r>
      <w:r w:rsidR="00A87633" w:rsidRPr="00E173FF">
        <w:rPr>
          <w:rFonts w:ascii="Arial" w:hAnsi="Arial" w:cs="Arial"/>
          <w:b/>
          <w:sz w:val="24"/>
          <w:szCs w:val="24"/>
          <w:vertAlign w:val="superscript"/>
          <w:lang w:val="es-CO"/>
        </w:rPr>
        <w:t>15</w:t>
      </w:r>
      <w:r w:rsidRPr="00E173FF">
        <w:rPr>
          <w:rFonts w:ascii="Arial" w:hAnsi="Arial" w:cs="Arial"/>
          <w:b/>
          <w:sz w:val="24"/>
          <w:szCs w:val="24"/>
          <w:vertAlign w:val="superscript"/>
          <w:lang w:val="es-CO"/>
        </w:rPr>
        <w:t>)</w:t>
      </w:r>
      <w:r w:rsidRPr="00E173FF">
        <w:rPr>
          <w:rFonts w:ascii="Arial" w:hAnsi="Arial" w:cs="Arial"/>
          <w:sz w:val="24"/>
          <w:szCs w:val="24"/>
          <w:lang w:val="es-CO"/>
        </w:rPr>
        <w:t xml:space="preserve"> </w:t>
      </w:r>
      <w:r w:rsidRPr="007B4EFC">
        <w:rPr>
          <w:rFonts w:ascii="Arial" w:hAnsi="Arial" w:cs="Arial"/>
          <w:sz w:val="24"/>
          <w:szCs w:val="24"/>
          <w:lang w:val="es-CO"/>
        </w:rPr>
        <w:t xml:space="preserve">que incluyó 1015 pacientes con dengue, la HTA y el asma bronquial fueron las comorbilidades encontradas con mayor frecuencia. </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El análisis de las comorbilidades y su relación con la HO es interesante, pues se ha demostrado que existe relación entre determinadas patologías como la HTA y la diabetes, con una mayor prevalencia de HO. </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Por ejemplo, la asociación entre la presencia de la HO y la hipertensión arterial es independiente de si la población es más joven </w:t>
      </w:r>
      <w:r w:rsidRPr="007B4EFC">
        <w:rPr>
          <w:rFonts w:ascii="Arial" w:hAnsi="Arial" w:cs="Arial"/>
          <w:b/>
          <w:sz w:val="24"/>
          <w:szCs w:val="24"/>
          <w:vertAlign w:val="superscript"/>
          <w:lang w:val="es-ES"/>
        </w:rPr>
        <w:t>(</w:t>
      </w:r>
      <w:r w:rsidR="00E173FF" w:rsidRPr="00E173FF">
        <w:rPr>
          <w:rFonts w:ascii="Arial" w:hAnsi="Arial" w:cs="Arial"/>
          <w:b/>
          <w:sz w:val="24"/>
          <w:szCs w:val="24"/>
          <w:vertAlign w:val="superscript"/>
          <w:lang w:val="es-ES"/>
        </w:rPr>
        <w:t>12</w:t>
      </w:r>
      <w:r w:rsidRPr="00E173FF">
        <w:rPr>
          <w:rFonts w:ascii="Arial" w:hAnsi="Arial" w:cs="Arial"/>
          <w:b/>
          <w:sz w:val="24"/>
          <w:szCs w:val="24"/>
          <w:vertAlign w:val="superscript"/>
          <w:lang w:val="es-ES"/>
        </w:rPr>
        <w:t>)</w:t>
      </w:r>
      <w:r w:rsidRPr="00E173FF">
        <w:rPr>
          <w:rFonts w:ascii="Arial" w:hAnsi="Arial" w:cs="Arial"/>
          <w:sz w:val="24"/>
          <w:szCs w:val="24"/>
          <w:lang w:val="es-ES"/>
        </w:rPr>
        <w:t xml:space="preserve"> </w:t>
      </w:r>
      <w:r w:rsidRPr="007B4EFC">
        <w:rPr>
          <w:rFonts w:ascii="Arial" w:hAnsi="Arial" w:cs="Arial"/>
          <w:sz w:val="24"/>
          <w:szCs w:val="24"/>
          <w:lang w:val="es-ES"/>
        </w:rPr>
        <w:t xml:space="preserve">o más adulta. </w:t>
      </w:r>
      <w:r w:rsidRPr="007B4EFC">
        <w:rPr>
          <w:rFonts w:ascii="Arial" w:hAnsi="Arial" w:cs="Arial"/>
          <w:b/>
          <w:sz w:val="24"/>
          <w:szCs w:val="24"/>
          <w:vertAlign w:val="superscript"/>
          <w:lang w:val="es-ES"/>
        </w:rPr>
        <w:t>(</w:t>
      </w:r>
      <w:r w:rsidR="00E173FF">
        <w:rPr>
          <w:rFonts w:ascii="Arial" w:hAnsi="Arial" w:cs="Arial"/>
          <w:b/>
          <w:sz w:val="24"/>
          <w:szCs w:val="24"/>
          <w:vertAlign w:val="superscript"/>
          <w:lang w:val="es-ES"/>
        </w:rPr>
        <w:t>23</w:t>
      </w:r>
      <w:r w:rsidRPr="007B4EFC">
        <w:rPr>
          <w:rFonts w:ascii="Arial" w:hAnsi="Arial" w:cs="Arial"/>
          <w:b/>
          <w:sz w:val="24"/>
          <w:szCs w:val="24"/>
          <w:vertAlign w:val="superscript"/>
          <w:lang w:val="es-ES"/>
        </w:rPr>
        <w:t>)</w:t>
      </w:r>
      <w:r w:rsidRPr="007B4EFC">
        <w:rPr>
          <w:rFonts w:ascii="Arial" w:hAnsi="Arial" w:cs="Arial"/>
          <w:sz w:val="24"/>
          <w:szCs w:val="24"/>
          <w:lang w:val="es-ES"/>
        </w:rPr>
        <w:t xml:space="preserve"> La asociación de la hipertensión arterial con la HO puede deberse a que la actividad de los </w:t>
      </w:r>
      <w:proofErr w:type="spellStart"/>
      <w:r w:rsidRPr="007B4EFC">
        <w:rPr>
          <w:rFonts w:ascii="Arial" w:hAnsi="Arial" w:cs="Arial"/>
          <w:sz w:val="24"/>
          <w:szCs w:val="24"/>
          <w:lang w:val="es-ES"/>
        </w:rPr>
        <w:t>barorreceptores</w:t>
      </w:r>
      <w:proofErr w:type="spellEnd"/>
      <w:r w:rsidRPr="007B4EFC">
        <w:rPr>
          <w:rFonts w:ascii="Arial" w:hAnsi="Arial" w:cs="Arial"/>
          <w:sz w:val="24"/>
          <w:szCs w:val="24"/>
          <w:lang w:val="es-ES"/>
        </w:rPr>
        <w:t xml:space="preserve"> está interferida por la existencia de unos niveles altos de la PA de manera mantenida, favoreciendo la patología </w:t>
      </w:r>
      <w:proofErr w:type="spellStart"/>
      <w:r w:rsidRPr="007B4EFC">
        <w:rPr>
          <w:rFonts w:ascii="Arial" w:hAnsi="Arial" w:cs="Arial"/>
          <w:sz w:val="24"/>
          <w:szCs w:val="24"/>
          <w:lang w:val="es-ES"/>
        </w:rPr>
        <w:t>ortostática</w:t>
      </w:r>
      <w:proofErr w:type="spellEnd"/>
      <w:r w:rsidRPr="007B4EFC">
        <w:rPr>
          <w:rFonts w:ascii="Arial" w:hAnsi="Arial" w:cs="Arial"/>
          <w:sz w:val="24"/>
          <w:szCs w:val="24"/>
          <w:lang w:val="es-ES"/>
        </w:rPr>
        <w:t xml:space="preserve"> en los sujetos hipertensos. Otra posible explicación puede ser que la HO es un marcador de riesgo de la hipertensión arterial. </w:t>
      </w:r>
      <w:r w:rsidRPr="007B4EFC">
        <w:rPr>
          <w:rFonts w:ascii="Arial" w:hAnsi="Arial" w:cs="Arial"/>
          <w:b/>
          <w:sz w:val="24"/>
          <w:szCs w:val="24"/>
          <w:vertAlign w:val="superscript"/>
          <w:lang w:val="es-ES"/>
        </w:rPr>
        <w:t>(</w:t>
      </w:r>
      <w:r w:rsidR="00E173FF">
        <w:rPr>
          <w:rFonts w:ascii="Arial" w:hAnsi="Arial" w:cs="Arial"/>
          <w:b/>
          <w:sz w:val="24"/>
          <w:szCs w:val="24"/>
          <w:vertAlign w:val="superscript"/>
          <w:lang w:val="es-ES"/>
        </w:rPr>
        <w:t>7</w:t>
      </w:r>
      <w:r w:rsidRPr="007B4EFC">
        <w:rPr>
          <w:rFonts w:ascii="Arial" w:hAnsi="Arial" w:cs="Arial"/>
          <w:b/>
          <w:sz w:val="24"/>
          <w:szCs w:val="24"/>
          <w:vertAlign w:val="superscript"/>
          <w:lang w:val="es-ES"/>
        </w:rPr>
        <w:t>)</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Los individuos que presentan HO tienen un valor basal, tanto de la PAS como de la PAD, superior respecto a los sujetos que presentan una respuesta </w:t>
      </w:r>
      <w:proofErr w:type="spellStart"/>
      <w:r w:rsidRPr="007B4EFC">
        <w:rPr>
          <w:rFonts w:ascii="Arial" w:hAnsi="Arial" w:cs="Arial"/>
          <w:sz w:val="24"/>
          <w:szCs w:val="24"/>
          <w:lang w:val="es-ES"/>
        </w:rPr>
        <w:t>normotensiva</w:t>
      </w:r>
      <w:proofErr w:type="spellEnd"/>
      <w:r w:rsidRPr="007B4EFC">
        <w:rPr>
          <w:rFonts w:ascii="Arial" w:hAnsi="Arial" w:cs="Arial"/>
          <w:sz w:val="24"/>
          <w:szCs w:val="24"/>
          <w:lang w:val="es-ES"/>
        </w:rPr>
        <w:t xml:space="preserve"> al </w:t>
      </w:r>
      <w:proofErr w:type="spellStart"/>
      <w:r w:rsidRPr="007B4EFC">
        <w:rPr>
          <w:rFonts w:ascii="Arial" w:hAnsi="Arial" w:cs="Arial"/>
          <w:sz w:val="24"/>
          <w:szCs w:val="24"/>
          <w:lang w:val="es-ES"/>
        </w:rPr>
        <w:t>ortostatismo</w:t>
      </w:r>
      <w:proofErr w:type="spellEnd"/>
      <w:r w:rsidRPr="007B4EFC">
        <w:rPr>
          <w:rFonts w:ascii="Arial" w:hAnsi="Arial" w:cs="Arial"/>
          <w:sz w:val="24"/>
          <w:szCs w:val="24"/>
          <w:lang w:val="es-ES"/>
        </w:rPr>
        <w:t xml:space="preserve">, independientemente de si es una población más anciana o más joven. Tampoco depende de si la población procede de una clínica de ancianos o de la comunidad. La prevalencia de la HO es mayor cuanto peor es el control de la PA, independientemente del tiempo considerado para su valoración. </w:t>
      </w:r>
      <w:r w:rsidRPr="007B4EFC">
        <w:rPr>
          <w:rFonts w:ascii="Arial" w:hAnsi="Arial" w:cs="Arial"/>
          <w:b/>
          <w:sz w:val="24"/>
          <w:szCs w:val="24"/>
          <w:vertAlign w:val="superscript"/>
          <w:lang w:val="es-ES"/>
        </w:rPr>
        <w:t>(</w:t>
      </w:r>
      <w:r w:rsidR="00E173FF" w:rsidRPr="00E173FF">
        <w:rPr>
          <w:rFonts w:ascii="Arial" w:hAnsi="Arial" w:cs="Arial"/>
          <w:b/>
          <w:sz w:val="24"/>
          <w:szCs w:val="24"/>
          <w:vertAlign w:val="superscript"/>
          <w:lang w:val="es-ES"/>
        </w:rPr>
        <w:t>11</w:t>
      </w:r>
      <w:r w:rsidRPr="007B4EFC">
        <w:rPr>
          <w:rFonts w:ascii="Arial" w:hAnsi="Arial" w:cs="Arial"/>
          <w:b/>
          <w:sz w:val="24"/>
          <w:szCs w:val="24"/>
          <w:vertAlign w:val="superscript"/>
          <w:lang w:val="es-ES"/>
        </w:rPr>
        <w:t>)</w:t>
      </w:r>
    </w:p>
    <w:p w:rsidR="007B4EFC" w:rsidRPr="007B4EFC" w:rsidRDefault="007B4EFC" w:rsidP="007B4EFC">
      <w:pPr>
        <w:jc w:val="both"/>
        <w:rPr>
          <w:rFonts w:ascii="Arial" w:hAnsi="Arial" w:cs="Arial"/>
          <w:b/>
          <w:sz w:val="24"/>
          <w:szCs w:val="24"/>
          <w:vertAlign w:val="superscript"/>
          <w:lang w:val="es-ES"/>
        </w:rPr>
      </w:pPr>
      <w:r w:rsidRPr="007B4EFC">
        <w:rPr>
          <w:rFonts w:ascii="Arial" w:hAnsi="Arial" w:cs="Arial"/>
          <w:sz w:val="24"/>
          <w:szCs w:val="24"/>
          <w:lang w:val="es-ES"/>
        </w:rPr>
        <w:t xml:space="preserve">Las personas con diabetes y con un peor control de la PA basal pueden desarrollar neuropatía. Se puede pensar que existe más prevalencia de la HO en estos individuos puesto que los mecanismos de regulación que se ponen en marcha con el </w:t>
      </w:r>
      <w:proofErr w:type="spellStart"/>
      <w:r w:rsidRPr="007B4EFC">
        <w:rPr>
          <w:rFonts w:ascii="Arial" w:hAnsi="Arial" w:cs="Arial"/>
          <w:sz w:val="24"/>
          <w:szCs w:val="24"/>
          <w:lang w:val="es-ES"/>
        </w:rPr>
        <w:t>ortostatismo</w:t>
      </w:r>
      <w:proofErr w:type="spellEnd"/>
      <w:r w:rsidRPr="007B4EFC">
        <w:rPr>
          <w:rFonts w:ascii="Arial" w:hAnsi="Arial" w:cs="Arial"/>
          <w:sz w:val="24"/>
          <w:szCs w:val="24"/>
          <w:lang w:val="es-ES"/>
        </w:rPr>
        <w:t xml:space="preserve"> están afectados por la presencia de la misma. </w:t>
      </w:r>
      <w:r w:rsidRPr="007B4EFC">
        <w:rPr>
          <w:rFonts w:ascii="Arial" w:hAnsi="Arial" w:cs="Arial"/>
          <w:b/>
          <w:sz w:val="24"/>
          <w:szCs w:val="24"/>
          <w:vertAlign w:val="superscript"/>
          <w:lang w:val="es-ES"/>
        </w:rPr>
        <w:t>(</w:t>
      </w:r>
      <w:r w:rsidR="00091A58">
        <w:rPr>
          <w:rFonts w:ascii="Arial" w:hAnsi="Arial" w:cs="Arial"/>
          <w:b/>
          <w:sz w:val="24"/>
          <w:szCs w:val="24"/>
          <w:vertAlign w:val="superscript"/>
          <w:lang w:val="es-ES"/>
        </w:rPr>
        <w:t>24</w:t>
      </w:r>
      <w:r w:rsidRPr="007B4EFC">
        <w:rPr>
          <w:rFonts w:ascii="Arial" w:hAnsi="Arial" w:cs="Arial"/>
          <w:b/>
          <w:sz w:val="24"/>
          <w:szCs w:val="24"/>
          <w:vertAlign w:val="superscript"/>
          <w:lang w:val="es-ES"/>
        </w:rPr>
        <w:t>)</w:t>
      </w:r>
      <w:r w:rsidRPr="007B4EFC">
        <w:rPr>
          <w:rFonts w:ascii="Arial" w:hAnsi="Arial" w:cs="Arial"/>
          <w:sz w:val="24"/>
          <w:szCs w:val="24"/>
          <w:lang w:val="es-ES"/>
        </w:rPr>
        <w:t xml:space="preserve"> Se demuestra asociación entre la HO y la diabetes, </w:t>
      </w:r>
      <w:r w:rsidRPr="007B4EFC">
        <w:rPr>
          <w:rFonts w:ascii="Arial" w:hAnsi="Arial" w:cs="Arial"/>
          <w:b/>
          <w:sz w:val="24"/>
          <w:szCs w:val="24"/>
          <w:vertAlign w:val="superscript"/>
          <w:lang w:val="es-ES"/>
        </w:rPr>
        <w:t>(</w:t>
      </w:r>
      <w:r w:rsidR="00A87633">
        <w:rPr>
          <w:rFonts w:ascii="Arial" w:hAnsi="Arial" w:cs="Arial"/>
          <w:b/>
          <w:sz w:val="24"/>
          <w:szCs w:val="24"/>
          <w:vertAlign w:val="superscript"/>
          <w:lang w:val="es-ES"/>
        </w:rPr>
        <w:t>11</w:t>
      </w:r>
      <w:r w:rsidRPr="007B4EFC">
        <w:rPr>
          <w:rFonts w:ascii="Arial" w:hAnsi="Arial" w:cs="Arial"/>
          <w:b/>
          <w:sz w:val="24"/>
          <w:szCs w:val="24"/>
          <w:vertAlign w:val="superscript"/>
          <w:lang w:val="es-ES"/>
        </w:rPr>
        <w:t xml:space="preserve">, </w:t>
      </w:r>
      <w:r w:rsidR="00A87633" w:rsidRPr="00E173FF">
        <w:rPr>
          <w:rFonts w:ascii="Arial" w:hAnsi="Arial" w:cs="Arial"/>
          <w:b/>
          <w:sz w:val="24"/>
          <w:szCs w:val="24"/>
          <w:vertAlign w:val="superscript"/>
          <w:lang w:val="es-ES"/>
        </w:rPr>
        <w:t>17</w:t>
      </w:r>
      <w:r w:rsidRPr="007B4EFC">
        <w:rPr>
          <w:rFonts w:ascii="Arial" w:hAnsi="Arial" w:cs="Arial"/>
          <w:b/>
          <w:sz w:val="24"/>
          <w:szCs w:val="24"/>
          <w:vertAlign w:val="superscript"/>
          <w:lang w:val="es-ES"/>
        </w:rPr>
        <w:t xml:space="preserve">) </w:t>
      </w:r>
      <w:r w:rsidRPr="007B4EFC">
        <w:rPr>
          <w:rFonts w:ascii="Arial" w:hAnsi="Arial" w:cs="Arial"/>
          <w:sz w:val="24"/>
          <w:szCs w:val="24"/>
          <w:lang w:val="es-ES"/>
        </w:rPr>
        <w:t xml:space="preserve">sobre todo con la caída de la PAS con el </w:t>
      </w:r>
      <w:proofErr w:type="spellStart"/>
      <w:r w:rsidRPr="007B4EFC">
        <w:rPr>
          <w:rFonts w:ascii="Arial" w:hAnsi="Arial" w:cs="Arial"/>
          <w:sz w:val="24"/>
          <w:szCs w:val="24"/>
          <w:lang w:val="es-ES"/>
        </w:rPr>
        <w:t>ortostatismo</w:t>
      </w:r>
      <w:proofErr w:type="spellEnd"/>
      <w:r w:rsidRPr="007B4EFC">
        <w:rPr>
          <w:rFonts w:ascii="Arial" w:hAnsi="Arial" w:cs="Arial"/>
          <w:sz w:val="24"/>
          <w:szCs w:val="24"/>
          <w:lang w:val="es-ES"/>
        </w:rPr>
        <w:t xml:space="preserve">. Hasta se llega a afirmar que la diabetes es un factor de riesgo </w:t>
      </w:r>
      <w:r w:rsidRPr="007B4EFC">
        <w:rPr>
          <w:rFonts w:ascii="Arial" w:hAnsi="Arial" w:cs="Arial"/>
          <w:sz w:val="24"/>
          <w:szCs w:val="24"/>
          <w:lang w:val="es-ES"/>
        </w:rPr>
        <w:lastRenderedPageBreak/>
        <w:t xml:space="preserve">independiente asociado a la HO. </w:t>
      </w:r>
      <w:r w:rsidRPr="007B4EFC">
        <w:rPr>
          <w:rFonts w:ascii="Arial" w:hAnsi="Arial" w:cs="Arial"/>
          <w:b/>
          <w:sz w:val="24"/>
          <w:szCs w:val="24"/>
          <w:vertAlign w:val="superscript"/>
          <w:lang w:val="es-ES"/>
        </w:rPr>
        <w:t>(64)</w:t>
      </w:r>
      <w:r w:rsidRPr="007B4EFC">
        <w:rPr>
          <w:rFonts w:ascii="Arial" w:hAnsi="Arial" w:cs="Arial"/>
          <w:sz w:val="24"/>
          <w:szCs w:val="24"/>
          <w:lang w:val="es-ES"/>
        </w:rPr>
        <w:t xml:space="preserve"> La prevalencia de la HO en la población diabética puede afectar al 30 % de los sujetos. </w:t>
      </w:r>
      <w:r w:rsidRPr="002746B7">
        <w:rPr>
          <w:rFonts w:ascii="Arial" w:hAnsi="Arial" w:cs="Arial"/>
          <w:b/>
          <w:sz w:val="24"/>
          <w:szCs w:val="24"/>
          <w:vertAlign w:val="superscript"/>
          <w:lang w:val="es-ES"/>
        </w:rPr>
        <w:t>(</w:t>
      </w:r>
      <w:r w:rsidR="00091A58" w:rsidRPr="002746B7">
        <w:rPr>
          <w:rFonts w:ascii="Arial" w:hAnsi="Arial" w:cs="Arial"/>
          <w:b/>
          <w:sz w:val="24"/>
          <w:szCs w:val="24"/>
          <w:vertAlign w:val="superscript"/>
          <w:lang w:val="es-ES"/>
        </w:rPr>
        <w:t>27</w:t>
      </w:r>
      <w:r w:rsidRPr="002746B7">
        <w:rPr>
          <w:rFonts w:ascii="Arial" w:hAnsi="Arial" w:cs="Arial"/>
          <w:b/>
          <w:sz w:val="24"/>
          <w:szCs w:val="24"/>
          <w:vertAlign w:val="superscript"/>
          <w:lang w:val="es-ES"/>
        </w:rPr>
        <w:t>)</w:t>
      </w:r>
      <w:r w:rsidRPr="002746B7">
        <w:rPr>
          <w:rFonts w:ascii="Arial" w:hAnsi="Arial" w:cs="Arial"/>
          <w:sz w:val="24"/>
          <w:szCs w:val="24"/>
          <w:lang w:val="es-ES"/>
        </w:rPr>
        <w:t xml:space="preserve"> </w:t>
      </w:r>
      <w:r w:rsidRPr="007B4EFC">
        <w:rPr>
          <w:rFonts w:ascii="Arial" w:hAnsi="Arial" w:cs="Arial"/>
          <w:sz w:val="24"/>
          <w:szCs w:val="24"/>
          <w:lang w:val="es-ES"/>
        </w:rPr>
        <w:t xml:space="preserve">Sin embargo, otros estudios afirman que no existe asociación. </w:t>
      </w:r>
      <w:r w:rsidRPr="002746B7">
        <w:rPr>
          <w:rFonts w:ascii="Arial" w:hAnsi="Arial" w:cs="Arial"/>
          <w:b/>
          <w:sz w:val="24"/>
          <w:szCs w:val="24"/>
          <w:vertAlign w:val="superscript"/>
          <w:lang w:val="es-ES"/>
        </w:rPr>
        <w:t>(</w:t>
      </w:r>
      <w:r w:rsidR="00E173FF" w:rsidRPr="002746B7">
        <w:rPr>
          <w:rFonts w:ascii="Arial" w:hAnsi="Arial" w:cs="Arial"/>
          <w:b/>
          <w:sz w:val="24"/>
          <w:szCs w:val="24"/>
          <w:vertAlign w:val="superscript"/>
          <w:lang w:val="es-ES"/>
        </w:rPr>
        <w:t>19</w:t>
      </w:r>
      <w:r w:rsidRPr="002746B7">
        <w:rPr>
          <w:rFonts w:ascii="Arial" w:hAnsi="Arial" w:cs="Arial"/>
          <w:b/>
          <w:sz w:val="24"/>
          <w:szCs w:val="24"/>
          <w:vertAlign w:val="superscript"/>
          <w:lang w:val="es-ES"/>
        </w:rPr>
        <w:t xml:space="preserve">, </w:t>
      </w:r>
      <w:r w:rsidR="00091A58">
        <w:rPr>
          <w:rFonts w:ascii="Arial" w:hAnsi="Arial" w:cs="Arial"/>
          <w:b/>
          <w:sz w:val="24"/>
          <w:szCs w:val="24"/>
          <w:vertAlign w:val="superscript"/>
          <w:lang w:val="es-ES"/>
        </w:rPr>
        <w:t>28</w:t>
      </w:r>
      <w:r w:rsidRPr="007B4EFC">
        <w:rPr>
          <w:rFonts w:ascii="Arial" w:hAnsi="Arial" w:cs="Arial"/>
          <w:b/>
          <w:sz w:val="24"/>
          <w:szCs w:val="24"/>
          <w:vertAlign w:val="superscript"/>
          <w:lang w:val="es-ES"/>
        </w:rPr>
        <w:t>)</w:t>
      </w:r>
    </w:p>
    <w:p w:rsidR="007B4EFC" w:rsidRPr="00912E5A"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La HO es más prevalente en los sujetos con antecedente de infarto de miocardio, también en población hipertensa, aunque no se asocia con la presencia de clínica anginosa. </w:t>
      </w:r>
      <w:r w:rsidRPr="007B4EFC">
        <w:rPr>
          <w:rFonts w:ascii="Arial" w:hAnsi="Arial" w:cs="Arial"/>
          <w:b/>
          <w:sz w:val="24"/>
          <w:szCs w:val="24"/>
          <w:vertAlign w:val="superscript"/>
          <w:lang w:val="es-ES"/>
        </w:rPr>
        <w:t>(</w:t>
      </w:r>
      <w:r w:rsidR="002746B7">
        <w:rPr>
          <w:rFonts w:ascii="Arial" w:hAnsi="Arial" w:cs="Arial"/>
          <w:b/>
          <w:sz w:val="24"/>
          <w:szCs w:val="24"/>
          <w:vertAlign w:val="superscript"/>
          <w:lang w:val="es-ES"/>
        </w:rPr>
        <w:t>29</w:t>
      </w:r>
      <w:r w:rsidRPr="007B4EFC">
        <w:rPr>
          <w:rFonts w:ascii="Arial" w:hAnsi="Arial" w:cs="Arial"/>
          <w:b/>
          <w:sz w:val="24"/>
          <w:szCs w:val="24"/>
          <w:vertAlign w:val="superscript"/>
          <w:lang w:val="es-ES"/>
        </w:rPr>
        <w:t>)</w:t>
      </w:r>
      <w:r w:rsidRPr="007B4EFC">
        <w:rPr>
          <w:rFonts w:ascii="Arial" w:hAnsi="Arial" w:cs="Arial"/>
          <w:sz w:val="24"/>
          <w:szCs w:val="24"/>
          <w:lang w:val="es-ES"/>
        </w:rPr>
        <w:t xml:space="preserve"> Otras investigaciones discrepan de estas afirmaciones. </w:t>
      </w:r>
      <w:r w:rsidRPr="007B4EFC">
        <w:rPr>
          <w:rFonts w:ascii="Arial" w:hAnsi="Arial" w:cs="Arial"/>
          <w:b/>
          <w:sz w:val="24"/>
          <w:szCs w:val="24"/>
          <w:vertAlign w:val="superscript"/>
          <w:lang w:val="es-ES"/>
        </w:rPr>
        <w:t>(</w:t>
      </w:r>
      <w:r w:rsidR="00E173FF" w:rsidRPr="00E173FF">
        <w:rPr>
          <w:rFonts w:ascii="Arial" w:hAnsi="Arial" w:cs="Arial"/>
          <w:b/>
          <w:sz w:val="24"/>
          <w:szCs w:val="24"/>
          <w:vertAlign w:val="superscript"/>
          <w:lang w:val="es-ES"/>
        </w:rPr>
        <w:t>18</w:t>
      </w:r>
      <w:r w:rsidRPr="007B4EFC">
        <w:rPr>
          <w:rFonts w:ascii="Arial" w:hAnsi="Arial" w:cs="Arial"/>
          <w:b/>
          <w:sz w:val="24"/>
          <w:szCs w:val="24"/>
          <w:vertAlign w:val="superscript"/>
          <w:lang w:val="es-ES"/>
        </w:rPr>
        <w:t>)</w:t>
      </w:r>
    </w:p>
    <w:p w:rsidR="007B4EFC" w:rsidRDefault="007B4EFC" w:rsidP="007B4EFC">
      <w:pPr>
        <w:jc w:val="both"/>
        <w:rPr>
          <w:rFonts w:ascii="Arial" w:hAnsi="Arial" w:cs="Arial"/>
          <w:sz w:val="24"/>
          <w:szCs w:val="24"/>
          <w:lang w:val="es-AR"/>
        </w:rPr>
      </w:pPr>
    </w:p>
    <w:p w:rsidR="007B4EFC" w:rsidRPr="007B4EFC" w:rsidRDefault="007B4EFC" w:rsidP="007B4EFC">
      <w:pPr>
        <w:jc w:val="both"/>
        <w:rPr>
          <w:rFonts w:ascii="Arial" w:hAnsi="Arial" w:cs="Arial"/>
          <w:sz w:val="24"/>
          <w:szCs w:val="24"/>
          <w:lang w:val="es-CO"/>
        </w:rPr>
      </w:pPr>
    </w:p>
    <w:p w:rsidR="007B4EFC" w:rsidRPr="007B4EFC" w:rsidRDefault="007B4EFC" w:rsidP="007B4EFC">
      <w:pPr>
        <w:jc w:val="both"/>
        <w:rPr>
          <w:rFonts w:ascii="Arial" w:hAnsi="Arial" w:cs="Arial"/>
          <w:b/>
          <w:i/>
          <w:sz w:val="24"/>
          <w:szCs w:val="24"/>
          <w:lang w:val="es-CO"/>
        </w:rPr>
      </w:pPr>
      <w:r w:rsidRPr="007B4EFC">
        <w:rPr>
          <w:rFonts w:ascii="Arial" w:hAnsi="Arial" w:cs="Arial"/>
          <w:b/>
          <w:sz w:val="24"/>
          <w:szCs w:val="24"/>
          <w:lang w:val="es-CO"/>
        </w:rPr>
        <w:t xml:space="preserve">Tabla 6. </w:t>
      </w:r>
      <w:r w:rsidRPr="007B4EFC">
        <w:rPr>
          <w:rFonts w:ascii="Arial" w:hAnsi="Arial" w:cs="Arial"/>
          <w:sz w:val="24"/>
          <w:szCs w:val="24"/>
          <w:lang w:val="es-CO"/>
        </w:rPr>
        <w:t xml:space="preserve">Distribución de los pacientes según conteo de leucocitos y presencia o no de hipotensión </w:t>
      </w:r>
      <w:proofErr w:type="spellStart"/>
      <w:r w:rsidRPr="007B4EFC">
        <w:rPr>
          <w:rFonts w:ascii="Arial" w:hAnsi="Arial" w:cs="Arial"/>
          <w:sz w:val="24"/>
          <w:szCs w:val="24"/>
          <w:lang w:val="es-CO"/>
        </w:rPr>
        <w:t>ortostática</w:t>
      </w:r>
      <w:proofErr w:type="spellEnd"/>
      <w:r w:rsidRPr="007B4EFC">
        <w:rPr>
          <w:rFonts w:ascii="Arial" w:hAnsi="Arial" w:cs="Arial"/>
          <w:sz w:val="24"/>
          <w:szCs w:val="24"/>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8"/>
        <w:gridCol w:w="1646"/>
        <w:gridCol w:w="1570"/>
        <w:gridCol w:w="1620"/>
        <w:gridCol w:w="1904"/>
      </w:tblGrid>
      <w:tr w:rsidR="007B4EFC" w:rsidRPr="007B4EFC" w:rsidTr="001600B6">
        <w:trPr>
          <w:trHeight w:val="542"/>
          <w:jc w:val="center"/>
        </w:trPr>
        <w:tc>
          <w:tcPr>
            <w:tcW w:w="2130" w:type="dxa"/>
            <w:vMerge w:val="restart"/>
            <w:tcBorders>
              <w:top w:val="single" w:sz="12" w:space="0" w:color="auto"/>
              <w:lef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Conteo de leucocitos</w:t>
            </w:r>
          </w:p>
        </w:tc>
        <w:tc>
          <w:tcPr>
            <w:tcW w:w="3318" w:type="dxa"/>
            <w:gridSpan w:val="2"/>
            <w:tcBorders>
              <w:top w:val="single" w:sz="12" w:space="0" w:color="auto"/>
              <w:bottom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 xml:space="preserve">Hipotensión </w:t>
            </w:r>
            <w:proofErr w:type="spellStart"/>
            <w:r w:rsidRPr="007B4EFC">
              <w:rPr>
                <w:rFonts w:ascii="Arial" w:hAnsi="Arial" w:cs="Arial"/>
                <w:b/>
                <w:sz w:val="24"/>
                <w:szCs w:val="24"/>
                <w:lang w:val="es-CO"/>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Total</w:t>
            </w:r>
          </w:p>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n=139</w:t>
            </w:r>
          </w:p>
        </w:tc>
        <w:tc>
          <w:tcPr>
            <w:tcW w:w="2002" w:type="dxa"/>
            <w:vMerge w:val="restart"/>
            <w:tcBorders>
              <w:top w:val="single" w:sz="12" w:space="0" w:color="auto"/>
              <w:left w:val="single" w:sz="4" w:space="0" w:color="auto"/>
              <w:righ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OR (IC 95 %)</w:t>
            </w:r>
          </w:p>
        </w:tc>
      </w:tr>
      <w:tr w:rsidR="007B4EFC" w:rsidRPr="007B4EFC" w:rsidTr="001600B6">
        <w:trPr>
          <w:trHeight w:val="691"/>
          <w:jc w:val="center"/>
        </w:trPr>
        <w:tc>
          <w:tcPr>
            <w:tcW w:w="2130" w:type="dxa"/>
            <w:vMerge/>
            <w:tcBorders>
              <w:left w:val="single" w:sz="12"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Si n=34</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No n=105</w:t>
            </w:r>
          </w:p>
        </w:tc>
        <w:tc>
          <w:tcPr>
            <w:tcW w:w="1672" w:type="dxa"/>
            <w:vMerge/>
            <w:tcBorders>
              <w:bottom w:val="single" w:sz="12" w:space="0" w:color="auto"/>
              <w:right w:val="single" w:sz="4" w:space="0" w:color="auto"/>
            </w:tcBorders>
            <w:shd w:val="clear" w:color="auto" w:fill="auto"/>
          </w:tcPr>
          <w:p w:rsidR="007B4EFC" w:rsidRPr="007B4EFC" w:rsidRDefault="007B4EFC" w:rsidP="007B4EFC">
            <w:pPr>
              <w:jc w:val="both"/>
              <w:rPr>
                <w:rFonts w:ascii="Arial" w:hAnsi="Arial" w:cs="Arial"/>
                <w:b/>
                <w:sz w:val="24"/>
                <w:szCs w:val="24"/>
                <w:lang w:val="es-CO"/>
              </w:rPr>
            </w:pPr>
          </w:p>
        </w:tc>
        <w:tc>
          <w:tcPr>
            <w:tcW w:w="2002" w:type="dxa"/>
            <w:vMerge/>
            <w:tcBorders>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b/>
                <w:sz w:val="24"/>
                <w:szCs w:val="24"/>
                <w:lang w:val="es-CO"/>
              </w:rPr>
            </w:pPr>
          </w:p>
        </w:tc>
      </w:tr>
      <w:tr w:rsidR="007B4EFC" w:rsidRPr="007B4EFC" w:rsidTr="001600B6">
        <w:trPr>
          <w:jc w:val="center"/>
        </w:trPr>
        <w:tc>
          <w:tcPr>
            <w:tcW w:w="2130" w:type="dxa"/>
            <w:tcBorders>
              <w:top w:val="single" w:sz="12" w:space="0" w:color="auto"/>
              <w:lef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Alto</w:t>
            </w:r>
          </w:p>
        </w:tc>
        <w:tc>
          <w:tcPr>
            <w:tcW w:w="1701"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(2,9%)</w:t>
            </w:r>
          </w:p>
        </w:tc>
        <w:tc>
          <w:tcPr>
            <w:tcW w:w="1617"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(1,0%)</w:t>
            </w:r>
          </w:p>
        </w:tc>
        <w:tc>
          <w:tcPr>
            <w:tcW w:w="1672" w:type="dxa"/>
            <w:tcBorders>
              <w:top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 (1,4%)</w:t>
            </w:r>
          </w:p>
        </w:tc>
        <w:tc>
          <w:tcPr>
            <w:tcW w:w="2002" w:type="dxa"/>
            <w:tcBorders>
              <w:top w:val="single" w:sz="12" w:space="0" w:color="auto"/>
              <w:left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3,15 (0,19-51,7)</w:t>
            </w:r>
          </w:p>
        </w:tc>
      </w:tr>
      <w:tr w:rsidR="007B4EFC" w:rsidRPr="007B4EFC" w:rsidTr="001600B6">
        <w:trPr>
          <w:trHeight w:val="599"/>
          <w:jc w:val="center"/>
        </w:trPr>
        <w:tc>
          <w:tcPr>
            <w:tcW w:w="2130" w:type="dxa"/>
            <w:tcBorders>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Normal</w:t>
            </w:r>
          </w:p>
        </w:tc>
        <w:tc>
          <w:tcPr>
            <w:tcW w:w="1701"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26 (76,5%)</w:t>
            </w:r>
          </w:p>
        </w:tc>
        <w:tc>
          <w:tcPr>
            <w:tcW w:w="1617"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90 (85,7%)</w:t>
            </w:r>
          </w:p>
        </w:tc>
        <w:tc>
          <w:tcPr>
            <w:tcW w:w="1672" w:type="dxa"/>
            <w:tcBorders>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116 (83,5%)</w:t>
            </w:r>
          </w:p>
        </w:tc>
        <w:tc>
          <w:tcPr>
            <w:tcW w:w="2002" w:type="dxa"/>
            <w:tcBorders>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0,54 (0,21-1,42)</w:t>
            </w:r>
          </w:p>
        </w:tc>
      </w:tr>
      <w:tr w:rsidR="007B4EFC" w:rsidRPr="007B4EFC" w:rsidTr="001600B6">
        <w:trPr>
          <w:trHeight w:val="264"/>
          <w:jc w:val="center"/>
        </w:trPr>
        <w:tc>
          <w:tcPr>
            <w:tcW w:w="213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Bajo</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7 (20,6%)</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14 (13,3%)</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21 (15,1%)</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1,69 (0,62-4,60)</w:t>
            </w:r>
          </w:p>
        </w:tc>
      </w:tr>
    </w:tbl>
    <w:p w:rsidR="007B4EFC" w:rsidRPr="007B4EFC" w:rsidRDefault="007B4EFC" w:rsidP="007B4EFC">
      <w:pPr>
        <w:jc w:val="both"/>
        <w:rPr>
          <w:rFonts w:ascii="Arial" w:hAnsi="Arial" w:cs="Arial"/>
          <w:sz w:val="24"/>
          <w:szCs w:val="24"/>
          <w:lang w:val="es-ES"/>
        </w:rPr>
      </w:pPr>
    </w:p>
    <w:p w:rsid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En la Tabla 6 el conteo de leucocitos fue bajo en el 15,1% de los pacientes, mientras que este fue normal en el 83,5%. El grupo de pacientes con HO mostró un porcentaje ligeramente mayor de casos con leucopenia (20,6% frente a 13,3%). La probabilidad de leucopenia en pacientes con HO fue 1,69 veces mayor, aunque las diferencias no fueron significativas y el </w:t>
      </w:r>
      <w:proofErr w:type="spellStart"/>
      <w:r w:rsidRPr="007B4EFC">
        <w:rPr>
          <w:rFonts w:ascii="Arial" w:hAnsi="Arial" w:cs="Arial"/>
          <w:i/>
          <w:sz w:val="24"/>
          <w:szCs w:val="24"/>
          <w:lang w:val="es-ES"/>
        </w:rPr>
        <w:t>Odds</w:t>
      </w:r>
      <w:proofErr w:type="spellEnd"/>
      <w:r w:rsidRPr="007B4EFC">
        <w:rPr>
          <w:rFonts w:ascii="Arial" w:hAnsi="Arial" w:cs="Arial"/>
          <w:i/>
          <w:sz w:val="24"/>
          <w:szCs w:val="24"/>
          <w:lang w:val="es-ES"/>
        </w:rPr>
        <w:t xml:space="preserve"> Ratio</w:t>
      </w:r>
      <w:r w:rsidRPr="007B4EFC">
        <w:rPr>
          <w:rFonts w:ascii="Arial" w:hAnsi="Arial" w:cs="Arial"/>
          <w:sz w:val="24"/>
          <w:szCs w:val="24"/>
          <w:lang w:val="es-ES"/>
        </w:rPr>
        <w:t xml:space="preserve"> incluyó la unidad. </w:t>
      </w:r>
    </w:p>
    <w:p w:rsidR="007B4EFC" w:rsidRPr="007B4EFC" w:rsidRDefault="007B4EFC" w:rsidP="007B4EFC">
      <w:pPr>
        <w:jc w:val="both"/>
        <w:rPr>
          <w:rFonts w:ascii="Arial" w:hAnsi="Arial" w:cs="Arial"/>
          <w:sz w:val="24"/>
          <w:szCs w:val="24"/>
          <w:lang w:val="es-ES"/>
        </w:rPr>
      </w:pPr>
    </w:p>
    <w:p w:rsidR="007B4EFC" w:rsidRPr="007B4EFC" w:rsidRDefault="007B4EFC" w:rsidP="007B4EFC">
      <w:pPr>
        <w:jc w:val="both"/>
        <w:rPr>
          <w:rFonts w:ascii="Arial" w:hAnsi="Arial" w:cs="Arial"/>
          <w:i/>
          <w:sz w:val="24"/>
          <w:szCs w:val="24"/>
          <w:lang w:val="es-CO"/>
        </w:rPr>
      </w:pPr>
      <w:r w:rsidRPr="007B4EFC">
        <w:rPr>
          <w:rFonts w:ascii="Arial" w:hAnsi="Arial" w:cs="Arial"/>
          <w:b/>
          <w:sz w:val="24"/>
          <w:szCs w:val="24"/>
          <w:lang w:val="es-CO"/>
        </w:rPr>
        <w:t>Tabla 7.</w:t>
      </w:r>
      <w:r w:rsidRPr="007B4EFC">
        <w:rPr>
          <w:rFonts w:ascii="Arial" w:hAnsi="Arial" w:cs="Arial"/>
          <w:sz w:val="24"/>
          <w:szCs w:val="24"/>
          <w:lang w:val="es-CO"/>
        </w:rPr>
        <w:t xml:space="preserve"> Distribución de los pacientes según conteo de plaquetas y presencia o no de hipotensión </w:t>
      </w:r>
      <w:proofErr w:type="spellStart"/>
      <w:r w:rsidRPr="007B4EFC">
        <w:rPr>
          <w:rFonts w:ascii="Arial" w:hAnsi="Arial" w:cs="Arial"/>
          <w:sz w:val="24"/>
          <w:szCs w:val="24"/>
          <w:lang w:val="es-CO"/>
        </w:rPr>
        <w:t>ortostática</w:t>
      </w:r>
      <w:proofErr w:type="spellEnd"/>
      <w:r w:rsidRPr="007B4EFC">
        <w:rPr>
          <w:rFonts w:ascii="Arial" w:hAnsi="Arial" w:cs="Arial"/>
          <w:sz w:val="24"/>
          <w:szCs w:val="24"/>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4"/>
        <w:gridCol w:w="1600"/>
        <w:gridCol w:w="1529"/>
        <w:gridCol w:w="1575"/>
        <w:gridCol w:w="1820"/>
      </w:tblGrid>
      <w:tr w:rsidR="007B4EFC" w:rsidRPr="007B4EFC" w:rsidTr="001600B6">
        <w:trPr>
          <w:trHeight w:val="542"/>
          <w:jc w:val="center"/>
        </w:trPr>
        <w:tc>
          <w:tcPr>
            <w:tcW w:w="2460" w:type="dxa"/>
            <w:vMerge w:val="restart"/>
            <w:tcBorders>
              <w:top w:val="single" w:sz="12" w:space="0" w:color="auto"/>
              <w:lef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Conteo de plaquetas</w:t>
            </w:r>
          </w:p>
        </w:tc>
        <w:tc>
          <w:tcPr>
            <w:tcW w:w="3318" w:type="dxa"/>
            <w:gridSpan w:val="2"/>
            <w:tcBorders>
              <w:top w:val="single" w:sz="12" w:space="0" w:color="auto"/>
              <w:bottom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 xml:space="preserve">Hipotensión </w:t>
            </w:r>
            <w:proofErr w:type="spellStart"/>
            <w:r w:rsidRPr="007B4EFC">
              <w:rPr>
                <w:rFonts w:ascii="Arial" w:hAnsi="Arial" w:cs="Arial"/>
                <w:b/>
                <w:sz w:val="24"/>
                <w:szCs w:val="24"/>
                <w:lang w:val="es-CO"/>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Total</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n=139</w:t>
            </w:r>
          </w:p>
        </w:tc>
        <w:tc>
          <w:tcPr>
            <w:tcW w:w="2002" w:type="dxa"/>
            <w:vMerge w:val="restart"/>
            <w:tcBorders>
              <w:top w:val="single" w:sz="12" w:space="0" w:color="auto"/>
              <w:left w:val="single" w:sz="4" w:space="0" w:color="auto"/>
              <w:righ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OR (IC 95 %)</w:t>
            </w:r>
          </w:p>
        </w:tc>
      </w:tr>
      <w:tr w:rsidR="007B4EFC" w:rsidRPr="007B4EFC" w:rsidTr="001600B6">
        <w:trPr>
          <w:trHeight w:val="691"/>
          <w:jc w:val="center"/>
        </w:trPr>
        <w:tc>
          <w:tcPr>
            <w:tcW w:w="2460" w:type="dxa"/>
            <w:vMerge/>
            <w:tcBorders>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Si n=34</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 n=105</w:t>
            </w:r>
          </w:p>
        </w:tc>
        <w:tc>
          <w:tcPr>
            <w:tcW w:w="1672" w:type="dxa"/>
            <w:vMerge/>
            <w:tcBorders>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2002" w:type="dxa"/>
            <w:vMerge/>
            <w:tcBorders>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r>
      <w:tr w:rsidR="007B4EFC" w:rsidRPr="007B4EFC" w:rsidTr="001600B6">
        <w:trPr>
          <w:jc w:val="center"/>
        </w:trPr>
        <w:tc>
          <w:tcPr>
            <w:tcW w:w="2460" w:type="dxa"/>
            <w:tcBorders>
              <w:top w:val="single" w:sz="12" w:space="0" w:color="auto"/>
              <w:lef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lastRenderedPageBreak/>
              <w:t>Alto</w:t>
            </w:r>
          </w:p>
        </w:tc>
        <w:tc>
          <w:tcPr>
            <w:tcW w:w="1701"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4 (11,8%)</w:t>
            </w:r>
          </w:p>
        </w:tc>
        <w:tc>
          <w:tcPr>
            <w:tcW w:w="1617"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4 (3,8%)</w:t>
            </w:r>
          </w:p>
        </w:tc>
        <w:tc>
          <w:tcPr>
            <w:tcW w:w="1672" w:type="dxa"/>
            <w:tcBorders>
              <w:top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(5,8%)</w:t>
            </w:r>
          </w:p>
        </w:tc>
        <w:tc>
          <w:tcPr>
            <w:tcW w:w="2002" w:type="dxa"/>
            <w:tcBorders>
              <w:top w:val="single" w:sz="12" w:space="0" w:color="auto"/>
              <w:left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3,37 (0,69-14,3)</w:t>
            </w:r>
          </w:p>
        </w:tc>
      </w:tr>
      <w:tr w:rsidR="007B4EFC" w:rsidRPr="007B4EFC" w:rsidTr="001600B6">
        <w:trPr>
          <w:trHeight w:val="599"/>
          <w:jc w:val="center"/>
        </w:trPr>
        <w:tc>
          <w:tcPr>
            <w:tcW w:w="2460" w:type="dxa"/>
            <w:tcBorders>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Normal</w:t>
            </w:r>
          </w:p>
        </w:tc>
        <w:tc>
          <w:tcPr>
            <w:tcW w:w="1701"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 (32,4%)</w:t>
            </w:r>
          </w:p>
        </w:tc>
        <w:tc>
          <w:tcPr>
            <w:tcW w:w="1617"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70 (66,7%)</w:t>
            </w:r>
          </w:p>
        </w:tc>
        <w:tc>
          <w:tcPr>
            <w:tcW w:w="1672" w:type="dxa"/>
            <w:tcBorders>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81 (58,3%)</w:t>
            </w:r>
          </w:p>
        </w:tc>
        <w:tc>
          <w:tcPr>
            <w:tcW w:w="2002" w:type="dxa"/>
            <w:tcBorders>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0,24 (0,10-0,55)</w:t>
            </w:r>
          </w:p>
        </w:tc>
      </w:tr>
      <w:tr w:rsidR="007B4EFC" w:rsidRPr="007B4EFC" w:rsidTr="001600B6">
        <w:trPr>
          <w:trHeight w:val="264"/>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Bajo</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19 (55,9%)</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31 (29,5%)</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50 (36,0%)</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3,02 (1,36-6,70)</w:t>
            </w:r>
          </w:p>
        </w:tc>
      </w:tr>
    </w:tbl>
    <w:p w:rsidR="007B4EFC" w:rsidRPr="007B4EFC" w:rsidRDefault="007B4EFC" w:rsidP="007B4EFC">
      <w:pPr>
        <w:jc w:val="both"/>
        <w:rPr>
          <w:rFonts w:ascii="Arial" w:hAnsi="Arial" w:cs="Arial"/>
          <w:b/>
          <w:sz w:val="24"/>
          <w:szCs w:val="24"/>
          <w:vertAlign w:val="superscript"/>
          <w:lang w:val="es-CO"/>
        </w:rPr>
      </w:pPr>
      <w:r w:rsidRPr="007B4EFC">
        <w:rPr>
          <w:rFonts w:ascii="Arial" w:hAnsi="Arial" w:cs="Arial"/>
          <w:b/>
          <w:sz w:val="24"/>
          <w:szCs w:val="24"/>
          <w:lang w:val="es-CO"/>
        </w:rPr>
        <w:t>X</w:t>
      </w:r>
      <w:r w:rsidRPr="007B4EFC">
        <w:rPr>
          <w:rFonts w:ascii="Arial" w:hAnsi="Arial" w:cs="Arial"/>
          <w:b/>
          <w:sz w:val="24"/>
          <w:szCs w:val="24"/>
          <w:vertAlign w:val="superscript"/>
          <w:lang w:val="es-CO"/>
        </w:rPr>
        <w:t>2</w:t>
      </w:r>
      <w:r w:rsidRPr="007B4EFC">
        <w:rPr>
          <w:rFonts w:ascii="Arial" w:hAnsi="Arial" w:cs="Arial"/>
          <w:b/>
          <w:sz w:val="24"/>
          <w:szCs w:val="24"/>
          <w:lang w:val="es-CO"/>
        </w:rPr>
        <w:t>=12,974; p=0,002</w:t>
      </w:r>
    </w:p>
    <w:p w:rsid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El conteo bajo de plaquetas fue más frecuente y estuvo presente en el 36,0% de los casos. En los pacientes con HO, el porcentaje de casos con </w:t>
      </w:r>
      <w:proofErr w:type="spellStart"/>
      <w:r w:rsidRPr="007B4EFC">
        <w:rPr>
          <w:rFonts w:ascii="Arial" w:hAnsi="Arial" w:cs="Arial"/>
          <w:sz w:val="24"/>
          <w:szCs w:val="24"/>
          <w:lang w:val="es-ES"/>
        </w:rPr>
        <w:t>plaquetopenia</w:t>
      </w:r>
      <w:proofErr w:type="spellEnd"/>
      <w:r w:rsidRPr="007B4EFC">
        <w:rPr>
          <w:rFonts w:ascii="Arial" w:hAnsi="Arial" w:cs="Arial"/>
          <w:sz w:val="24"/>
          <w:szCs w:val="24"/>
          <w:lang w:val="es-ES"/>
        </w:rPr>
        <w:t xml:space="preserve"> fue significativamente mayor respecto a aquellos sin hipotensión (55,9% frente a 29,5%). La probabilidad de tener plaquetas disminuidas en el grupo con HO fue tres veces mayor. (Tabla 7). </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 xml:space="preserve">En el presente estudio, la </w:t>
      </w:r>
      <w:proofErr w:type="spellStart"/>
      <w:r w:rsidRPr="007B4EFC">
        <w:rPr>
          <w:rFonts w:ascii="Arial" w:hAnsi="Arial" w:cs="Arial"/>
          <w:sz w:val="24"/>
          <w:szCs w:val="24"/>
          <w:lang w:val="es-CO"/>
        </w:rPr>
        <w:t>plaquetopenia</w:t>
      </w:r>
      <w:proofErr w:type="spellEnd"/>
      <w:r w:rsidRPr="007B4EFC">
        <w:rPr>
          <w:rFonts w:ascii="Arial" w:hAnsi="Arial" w:cs="Arial"/>
          <w:sz w:val="24"/>
          <w:szCs w:val="24"/>
          <w:lang w:val="es-CO"/>
        </w:rPr>
        <w:t xml:space="preserve"> estuvo presente en 1/3 parte de los casos y fue más frecuente que la leucopenia. Real et al </w:t>
      </w:r>
      <w:r w:rsidRPr="007B4EFC">
        <w:rPr>
          <w:rFonts w:ascii="Arial" w:hAnsi="Arial" w:cs="Arial"/>
          <w:b/>
          <w:sz w:val="24"/>
          <w:szCs w:val="24"/>
          <w:vertAlign w:val="superscript"/>
          <w:lang w:val="es-CO"/>
        </w:rPr>
        <w:t>(</w:t>
      </w:r>
      <w:r w:rsidR="002746B7">
        <w:rPr>
          <w:rFonts w:ascii="Arial" w:hAnsi="Arial" w:cs="Arial"/>
          <w:b/>
          <w:sz w:val="24"/>
          <w:szCs w:val="24"/>
          <w:vertAlign w:val="superscript"/>
          <w:lang w:val="es-CO"/>
        </w:rPr>
        <w:t>31</w:t>
      </w:r>
      <w:r w:rsidRPr="007B4EFC">
        <w:rPr>
          <w:rFonts w:ascii="Arial" w:hAnsi="Arial" w:cs="Arial"/>
          <w:b/>
          <w:sz w:val="24"/>
          <w:szCs w:val="24"/>
          <w:vertAlign w:val="superscript"/>
          <w:lang w:val="es-CO"/>
        </w:rPr>
        <w:t>)</w:t>
      </w:r>
      <w:r w:rsidRPr="007B4EFC">
        <w:rPr>
          <w:rFonts w:ascii="Arial" w:hAnsi="Arial" w:cs="Arial"/>
          <w:sz w:val="24"/>
          <w:szCs w:val="24"/>
          <w:lang w:val="es-CO"/>
        </w:rPr>
        <w:t xml:space="preserve"> describieron en su estudio un 95,1% de pacientes con conteo bajo de plaquetas, mucho mayor a la de nuestro estudio, así como un 43,9% de pacientes con leucopenia, lo que se justifica en que este reporte se enfocó solamente en pacientes con signos de alarma. Por el contrario, en un estudio realizado a colaboradores cubanos con dengue, </w:t>
      </w:r>
      <w:r w:rsidRPr="00E173FF">
        <w:rPr>
          <w:rFonts w:ascii="Arial" w:hAnsi="Arial" w:cs="Arial"/>
          <w:b/>
          <w:sz w:val="24"/>
          <w:szCs w:val="24"/>
          <w:vertAlign w:val="superscript"/>
          <w:lang w:val="es-CO"/>
        </w:rPr>
        <w:t>(</w:t>
      </w:r>
      <w:r w:rsidR="00A87633" w:rsidRPr="00E173FF">
        <w:rPr>
          <w:rFonts w:ascii="Arial" w:hAnsi="Arial" w:cs="Arial"/>
          <w:b/>
          <w:sz w:val="24"/>
          <w:szCs w:val="24"/>
          <w:vertAlign w:val="superscript"/>
          <w:lang w:val="es-CO"/>
        </w:rPr>
        <w:t>13</w:t>
      </w:r>
      <w:r w:rsidRPr="00E173FF">
        <w:rPr>
          <w:rFonts w:ascii="Arial" w:hAnsi="Arial" w:cs="Arial"/>
          <w:b/>
          <w:sz w:val="24"/>
          <w:szCs w:val="24"/>
          <w:vertAlign w:val="superscript"/>
          <w:lang w:val="es-CO"/>
        </w:rPr>
        <w:t xml:space="preserve">) </w:t>
      </w:r>
      <w:r w:rsidRPr="007B4EFC">
        <w:rPr>
          <w:rFonts w:ascii="Arial" w:hAnsi="Arial" w:cs="Arial"/>
          <w:sz w:val="24"/>
          <w:szCs w:val="24"/>
          <w:lang w:val="es-CO"/>
        </w:rPr>
        <w:t xml:space="preserve">la leucopenia estuvo presente en el 29,6% y la </w:t>
      </w:r>
      <w:proofErr w:type="spellStart"/>
      <w:r w:rsidRPr="007B4EFC">
        <w:rPr>
          <w:rFonts w:ascii="Arial" w:hAnsi="Arial" w:cs="Arial"/>
          <w:sz w:val="24"/>
          <w:szCs w:val="24"/>
          <w:lang w:val="es-CO"/>
        </w:rPr>
        <w:t>plaquetopenia</w:t>
      </w:r>
      <w:proofErr w:type="spellEnd"/>
      <w:r w:rsidRPr="007B4EFC">
        <w:rPr>
          <w:rFonts w:ascii="Arial" w:hAnsi="Arial" w:cs="Arial"/>
          <w:sz w:val="24"/>
          <w:szCs w:val="24"/>
          <w:lang w:val="es-CO"/>
        </w:rPr>
        <w:t xml:space="preserve"> en el 11,1%. </w:t>
      </w: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La disminución del conteo plaquetario se ha constituido en variable “testigo” del agravamiento del dengue y anuncian con frecuencia la aparición de complicaciones, fatales a veces. Con el empleo del análisis</w:t>
      </w:r>
      <w:r>
        <w:rPr>
          <w:rFonts w:ascii="Arial" w:hAnsi="Arial" w:cs="Arial"/>
          <w:sz w:val="24"/>
          <w:szCs w:val="24"/>
          <w:lang w:val="es-ES"/>
        </w:rPr>
        <w:t xml:space="preserve"> (ANOVA) </w:t>
      </w:r>
      <w:r w:rsidRPr="007B4EFC">
        <w:rPr>
          <w:rFonts w:ascii="Arial" w:hAnsi="Arial" w:cs="Arial"/>
          <w:sz w:val="24"/>
          <w:szCs w:val="24"/>
          <w:lang w:val="es-ES"/>
        </w:rPr>
        <w:t xml:space="preserve">se encontró que la </w:t>
      </w:r>
      <w:proofErr w:type="spellStart"/>
      <w:r w:rsidRPr="007B4EFC">
        <w:rPr>
          <w:rFonts w:ascii="Arial" w:hAnsi="Arial" w:cs="Arial"/>
          <w:sz w:val="24"/>
          <w:szCs w:val="24"/>
          <w:lang w:val="es-ES"/>
        </w:rPr>
        <w:t>plaquetopenia</w:t>
      </w:r>
      <w:proofErr w:type="spellEnd"/>
      <w:r w:rsidRPr="007B4EFC">
        <w:rPr>
          <w:rFonts w:ascii="Arial" w:hAnsi="Arial" w:cs="Arial"/>
          <w:sz w:val="24"/>
          <w:szCs w:val="24"/>
          <w:lang w:val="es-ES"/>
        </w:rPr>
        <w:t xml:space="preserve"> es el único predictor de mortalidad </w:t>
      </w:r>
      <w:r w:rsidRPr="007B4EFC">
        <w:rPr>
          <w:rFonts w:ascii="Arial" w:hAnsi="Arial" w:cs="Arial"/>
          <w:b/>
          <w:sz w:val="24"/>
          <w:szCs w:val="24"/>
          <w:vertAlign w:val="superscript"/>
          <w:lang w:val="es-ES"/>
        </w:rPr>
        <w:t>(</w:t>
      </w:r>
      <w:r w:rsidR="002746B7">
        <w:rPr>
          <w:rFonts w:ascii="Arial" w:hAnsi="Arial" w:cs="Arial"/>
          <w:b/>
          <w:sz w:val="24"/>
          <w:szCs w:val="24"/>
          <w:vertAlign w:val="superscript"/>
          <w:lang w:val="es-ES"/>
        </w:rPr>
        <w:t>32</w:t>
      </w:r>
      <w:r w:rsidRPr="007B4EFC">
        <w:rPr>
          <w:rFonts w:ascii="Arial" w:hAnsi="Arial" w:cs="Arial"/>
          <w:b/>
          <w:sz w:val="24"/>
          <w:szCs w:val="24"/>
          <w:vertAlign w:val="superscript"/>
          <w:lang w:val="es-ES"/>
        </w:rPr>
        <w:t>)</w:t>
      </w:r>
      <w:r w:rsidRPr="007B4EFC">
        <w:rPr>
          <w:rFonts w:ascii="Arial" w:hAnsi="Arial" w:cs="Arial"/>
          <w:sz w:val="24"/>
          <w:szCs w:val="24"/>
          <w:lang w:val="es-ES"/>
        </w:rPr>
        <w:t xml:space="preserve"> y otros autores </w:t>
      </w:r>
      <w:r w:rsidRPr="007B4EFC">
        <w:rPr>
          <w:rFonts w:ascii="Arial" w:hAnsi="Arial" w:cs="Arial"/>
          <w:b/>
          <w:sz w:val="24"/>
          <w:szCs w:val="24"/>
          <w:vertAlign w:val="superscript"/>
          <w:lang w:val="es-ES"/>
        </w:rPr>
        <w:t>(</w:t>
      </w:r>
      <w:r w:rsidR="002746B7">
        <w:rPr>
          <w:rFonts w:ascii="Arial" w:hAnsi="Arial" w:cs="Arial"/>
          <w:b/>
          <w:sz w:val="24"/>
          <w:szCs w:val="24"/>
          <w:vertAlign w:val="superscript"/>
          <w:lang w:val="es-ES"/>
        </w:rPr>
        <w:t>33</w:t>
      </w:r>
      <w:r w:rsidRPr="007B4EFC">
        <w:rPr>
          <w:rFonts w:ascii="Arial" w:hAnsi="Arial" w:cs="Arial"/>
          <w:b/>
          <w:sz w:val="24"/>
          <w:szCs w:val="24"/>
          <w:vertAlign w:val="superscript"/>
          <w:lang w:val="es-ES"/>
        </w:rPr>
        <w:t xml:space="preserve">) </w:t>
      </w:r>
      <w:r w:rsidRPr="007B4EFC">
        <w:rPr>
          <w:rFonts w:ascii="Arial" w:hAnsi="Arial" w:cs="Arial"/>
          <w:sz w:val="24"/>
          <w:szCs w:val="24"/>
          <w:lang w:val="es-ES"/>
        </w:rPr>
        <w:t>hallaron plaquetas entre 50 000 y 100 000 como un factor asociado a mortalidad. Por tal razón, la asociación encontrada entre la presencia de HO y conteo de plaquetas disminuido añade valor pronóstico a la hipotensión identificada en estos pacientes</w:t>
      </w:r>
      <w:r>
        <w:rPr>
          <w:rFonts w:ascii="Arial" w:hAnsi="Arial" w:cs="Arial"/>
          <w:sz w:val="24"/>
          <w:szCs w:val="24"/>
          <w:lang w:val="es-ES"/>
        </w:rPr>
        <w:t>.</w:t>
      </w:r>
    </w:p>
    <w:p w:rsidR="007B4EFC" w:rsidRPr="007B4EFC" w:rsidRDefault="007B4EFC" w:rsidP="007B4EFC">
      <w:pPr>
        <w:jc w:val="both"/>
        <w:rPr>
          <w:rFonts w:ascii="Arial" w:hAnsi="Arial" w:cs="Arial"/>
          <w:i/>
          <w:sz w:val="24"/>
          <w:szCs w:val="24"/>
          <w:lang w:val="es-CO"/>
        </w:rPr>
      </w:pPr>
      <w:r w:rsidRPr="007B4EFC">
        <w:rPr>
          <w:rFonts w:ascii="Arial" w:hAnsi="Arial" w:cs="Arial"/>
          <w:b/>
          <w:sz w:val="24"/>
          <w:szCs w:val="24"/>
          <w:lang w:val="es-CO"/>
        </w:rPr>
        <w:t>Tabla 8.</w:t>
      </w:r>
      <w:r w:rsidRPr="007B4EFC">
        <w:rPr>
          <w:rFonts w:ascii="Arial" w:hAnsi="Arial" w:cs="Arial"/>
          <w:sz w:val="24"/>
          <w:szCs w:val="24"/>
          <w:lang w:val="es-CO"/>
        </w:rPr>
        <w:t xml:space="preserve"> Distribución de los pacientes según hallazgos en el ultrasonido abdominal y presencia o no de hipotensión </w:t>
      </w:r>
      <w:proofErr w:type="spellStart"/>
      <w:r w:rsidRPr="007B4EFC">
        <w:rPr>
          <w:rFonts w:ascii="Arial" w:hAnsi="Arial" w:cs="Arial"/>
          <w:sz w:val="24"/>
          <w:szCs w:val="24"/>
          <w:lang w:val="es-CO"/>
        </w:rPr>
        <w:t>ortostática</w:t>
      </w:r>
      <w:proofErr w:type="spellEnd"/>
      <w:r w:rsidRPr="007B4EFC">
        <w:rPr>
          <w:rFonts w:ascii="Arial" w:hAnsi="Arial" w:cs="Arial"/>
          <w:sz w:val="24"/>
          <w:szCs w:val="24"/>
          <w:lang w:val="es-CO"/>
        </w:rPr>
        <w:t>.</w:t>
      </w:r>
      <w:r w:rsidRPr="007B4EFC">
        <w:rPr>
          <w:rFonts w:ascii="Arial" w:hAnsi="Arial" w:cs="Arial"/>
          <w:b/>
          <w:sz w:val="24"/>
          <w:szCs w:val="24"/>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4"/>
        <w:gridCol w:w="1581"/>
        <w:gridCol w:w="1513"/>
        <w:gridCol w:w="1558"/>
        <w:gridCol w:w="1784"/>
        <w:gridCol w:w="78"/>
      </w:tblGrid>
      <w:tr w:rsidR="007B4EFC" w:rsidRPr="007B4EFC" w:rsidTr="001600B6">
        <w:trPr>
          <w:trHeight w:val="542"/>
          <w:jc w:val="center"/>
        </w:trPr>
        <w:tc>
          <w:tcPr>
            <w:tcW w:w="2460" w:type="dxa"/>
            <w:vMerge w:val="restart"/>
            <w:tcBorders>
              <w:top w:val="single" w:sz="12" w:space="0" w:color="auto"/>
              <w:lef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Hallazgos en el US abdominal</w:t>
            </w:r>
          </w:p>
        </w:tc>
        <w:tc>
          <w:tcPr>
            <w:tcW w:w="3318" w:type="dxa"/>
            <w:gridSpan w:val="2"/>
            <w:tcBorders>
              <w:top w:val="single" w:sz="12" w:space="0" w:color="auto"/>
              <w:bottom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 xml:space="preserve">Hipotensión </w:t>
            </w:r>
            <w:proofErr w:type="spellStart"/>
            <w:r w:rsidRPr="007B4EFC">
              <w:rPr>
                <w:rFonts w:ascii="Arial" w:hAnsi="Arial" w:cs="Arial"/>
                <w:b/>
                <w:sz w:val="24"/>
                <w:szCs w:val="24"/>
                <w:lang w:val="es-CO"/>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Total</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n=139</w:t>
            </w:r>
          </w:p>
        </w:tc>
        <w:tc>
          <w:tcPr>
            <w:tcW w:w="2094" w:type="dxa"/>
            <w:gridSpan w:val="2"/>
            <w:tcBorders>
              <w:top w:val="single" w:sz="12" w:space="0" w:color="auto"/>
              <w:left w:val="single" w:sz="4" w:space="0" w:color="auto"/>
              <w:righ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OR (IC 95 %)</w:t>
            </w:r>
          </w:p>
        </w:tc>
      </w:tr>
      <w:tr w:rsidR="007B4EFC" w:rsidRPr="007B4EFC" w:rsidTr="001600B6">
        <w:trPr>
          <w:gridAfter w:val="1"/>
          <w:wAfter w:w="92" w:type="dxa"/>
          <w:trHeight w:val="691"/>
          <w:jc w:val="center"/>
        </w:trPr>
        <w:tc>
          <w:tcPr>
            <w:tcW w:w="2460" w:type="dxa"/>
            <w:vMerge/>
            <w:tcBorders>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Si n=34</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 n=105</w:t>
            </w:r>
          </w:p>
        </w:tc>
        <w:tc>
          <w:tcPr>
            <w:tcW w:w="1672" w:type="dxa"/>
            <w:vMerge/>
            <w:tcBorders>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2002" w:type="dxa"/>
            <w:tcBorders>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r>
      <w:tr w:rsidR="007B4EFC" w:rsidRPr="007B4EFC" w:rsidTr="001600B6">
        <w:trPr>
          <w:jc w:val="center"/>
        </w:trPr>
        <w:tc>
          <w:tcPr>
            <w:tcW w:w="2460" w:type="dxa"/>
            <w:tcBorders>
              <w:top w:val="single" w:sz="12" w:space="0" w:color="auto"/>
              <w:lef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 xml:space="preserve">Negativo </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Positivo *</w:t>
            </w:r>
          </w:p>
        </w:tc>
        <w:tc>
          <w:tcPr>
            <w:tcW w:w="1701"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28 (82,4%)</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6 (17,6%)</w:t>
            </w:r>
          </w:p>
        </w:tc>
        <w:tc>
          <w:tcPr>
            <w:tcW w:w="1617"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102 (97,1%)</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 (2,9%)</w:t>
            </w:r>
          </w:p>
        </w:tc>
        <w:tc>
          <w:tcPr>
            <w:tcW w:w="1672" w:type="dxa"/>
            <w:tcBorders>
              <w:top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130 (93,5%)</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9 (6,5%)</w:t>
            </w:r>
          </w:p>
        </w:tc>
        <w:tc>
          <w:tcPr>
            <w:tcW w:w="2094" w:type="dxa"/>
            <w:gridSpan w:val="2"/>
            <w:tcBorders>
              <w:top w:val="single" w:sz="12" w:space="0" w:color="auto"/>
              <w:left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0,43 (0,17-1,08)</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lastRenderedPageBreak/>
              <w:t>3,10 (1,76-5,46)</w:t>
            </w:r>
          </w:p>
        </w:tc>
      </w:tr>
      <w:tr w:rsidR="007B4EFC" w:rsidRPr="007B4EFC" w:rsidTr="001600B6">
        <w:trPr>
          <w:trHeight w:val="599"/>
          <w:jc w:val="center"/>
        </w:trPr>
        <w:tc>
          <w:tcPr>
            <w:tcW w:w="2460" w:type="dxa"/>
            <w:tcBorders>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lastRenderedPageBreak/>
              <w:t xml:space="preserve">Edema </w:t>
            </w:r>
            <w:proofErr w:type="spellStart"/>
            <w:r w:rsidRPr="007B4EFC">
              <w:rPr>
                <w:rFonts w:ascii="Arial" w:hAnsi="Arial" w:cs="Arial"/>
                <w:sz w:val="24"/>
                <w:szCs w:val="24"/>
                <w:lang w:val="es-CO"/>
              </w:rPr>
              <w:t>perivesicular</w:t>
            </w:r>
            <w:proofErr w:type="spellEnd"/>
          </w:p>
        </w:tc>
        <w:tc>
          <w:tcPr>
            <w:tcW w:w="1701"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6 (17,6%)</w:t>
            </w:r>
          </w:p>
        </w:tc>
        <w:tc>
          <w:tcPr>
            <w:tcW w:w="1617"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 (1,9%)</w:t>
            </w:r>
          </w:p>
        </w:tc>
        <w:tc>
          <w:tcPr>
            <w:tcW w:w="1672" w:type="dxa"/>
            <w:tcBorders>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(5,8%)</w:t>
            </w:r>
          </w:p>
        </w:tc>
        <w:tc>
          <w:tcPr>
            <w:tcW w:w="2094" w:type="dxa"/>
            <w:gridSpan w:val="2"/>
            <w:tcBorders>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11,04 (2,11-57,7)</w:t>
            </w:r>
          </w:p>
        </w:tc>
      </w:tr>
      <w:tr w:rsidR="007B4EFC" w:rsidRPr="007B4EFC" w:rsidTr="001600B6">
        <w:trPr>
          <w:trHeight w:val="264"/>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Derrame pleural</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(2,9%)</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 (0,0%)</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(0,7%)</w:t>
            </w:r>
          </w:p>
        </w:tc>
        <w:tc>
          <w:tcPr>
            <w:tcW w:w="2094" w:type="dxa"/>
            <w:gridSpan w:val="2"/>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w:t>
            </w:r>
          </w:p>
        </w:tc>
      </w:tr>
      <w:tr w:rsidR="007B4EFC" w:rsidRPr="007B4EFC" w:rsidTr="001600B6">
        <w:trPr>
          <w:trHeight w:val="529"/>
          <w:jc w:val="center"/>
        </w:trPr>
        <w:tc>
          <w:tcPr>
            <w:tcW w:w="2460" w:type="dxa"/>
            <w:tcBorders>
              <w:top w:val="single" w:sz="4" w:space="0" w:color="auto"/>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Líquido libre en cavidad</w:t>
            </w: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(2,9%)</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 (1,9%)</w:t>
            </w:r>
          </w:p>
        </w:tc>
        <w:tc>
          <w:tcPr>
            <w:tcW w:w="1672" w:type="dxa"/>
            <w:tcBorders>
              <w:top w:val="single" w:sz="4" w:space="0" w:color="auto"/>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 (2,2%)</w:t>
            </w:r>
          </w:p>
        </w:tc>
        <w:tc>
          <w:tcPr>
            <w:tcW w:w="2094" w:type="dxa"/>
            <w:gridSpan w:val="2"/>
            <w:tcBorders>
              <w:top w:val="single" w:sz="4" w:space="0" w:color="auto"/>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1,56 (0,14-17,8)</w:t>
            </w:r>
          </w:p>
        </w:tc>
      </w:tr>
    </w:tbl>
    <w:p w:rsidR="007B4EFC" w:rsidRPr="007B4EFC" w:rsidRDefault="007B4EFC" w:rsidP="007B4EFC">
      <w:pPr>
        <w:jc w:val="both"/>
        <w:rPr>
          <w:rFonts w:ascii="Arial" w:hAnsi="Arial" w:cs="Arial"/>
          <w:b/>
          <w:sz w:val="24"/>
          <w:szCs w:val="24"/>
          <w:vertAlign w:val="superscript"/>
          <w:lang w:val="es-CO"/>
        </w:rPr>
      </w:pPr>
      <w:r w:rsidRPr="007B4EFC">
        <w:rPr>
          <w:rFonts w:ascii="Arial" w:hAnsi="Arial" w:cs="Arial"/>
          <w:b/>
          <w:sz w:val="24"/>
          <w:szCs w:val="24"/>
          <w:lang w:val="es-ES"/>
        </w:rPr>
        <w:t xml:space="preserve">* </w:t>
      </w:r>
      <w:r w:rsidRPr="007B4EFC">
        <w:rPr>
          <w:rFonts w:ascii="Arial" w:hAnsi="Arial" w:cs="Arial"/>
          <w:b/>
          <w:sz w:val="24"/>
          <w:szCs w:val="24"/>
          <w:lang w:val="es-CO"/>
        </w:rPr>
        <w:t>X</w:t>
      </w:r>
      <w:r w:rsidRPr="007B4EFC">
        <w:rPr>
          <w:rFonts w:ascii="Arial" w:hAnsi="Arial" w:cs="Arial"/>
          <w:b/>
          <w:sz w:val="24"/>
          <w:szCs w:val="24"/>
          <w:vertAlign w:val="superscript"/>
          <w:lang w:val="es-CO"/>
        </w:rPr>
        <w:t>2</w:t>
      </w:r>
      <w:r w:rsidRPr="007B4EFC">
        <w:rPr>
          <w:rFonts w:ascii="Arial" w:hAnsi="Arial" w:cs="Arial"/>
          <w:b/>
          <w:sz w:val="24"/>
          <w:szCs w:val="24"/>
          <w:lang w:val="es-CO"/>
        </w:rPr>
        <w:t>=9,277; p=0,002</w:t>
      </w:r>
    </w:p>
    <w:p w:rsidR="007B4EFC" w:rsidRPr="007B4EFC" w:rsidRDefault="007B4EFC" w:rsidP="007B4EFC">
      <w:pPr>
        <w:jc w:val="both"/>
        <w:rPr>
          <w:rFonts w:ascii="Arial" w:hAnsi="Arial" w:cs="Arial"/>
          <w:b/>
          <w:sz w:val="24"/>
          <w:szCs w:val="24"/>
          <w:lang w:val="es-ES"/>
        </w:rPr>
      </w:pPr>
    </w:p>
    <w:p w:rsidR="007B4EFC" w:rsidRP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El ultrasonido abdominal fue positivo en nueve pacientes para un 6,5%. De todas las complicaciones, la más frecuente fue el edema </w:t>
      </w:r>
      <w:proofErr w:type="spellStart"/>
      <w:r w:rsidRPr="007B4EFC">
        <w:rPr>
          <w:rFonts w:ascii="Arial" w:hAnsi="Arial" w:cs="Arial"/>
          <w:sz w:val="24"/>
          <w:szCs w:val="24"/>
          <w:lang w:val="es-ES"/>
        </w:rPr>
        <w:t>perivesicular</w:t>
      </w:r>
      <w:proofErr w:type="spellEnd"/>
      <w:r w:rsidRPr="007B4EFC">
        <w:rPr>
          <w:rFonts w:ascii="Arial" w:hAnsi="Arial" w:cs="Arial"/>
          <w:sz w:val="24"/>
          <w:szCs w:val="24"/>
          <w:lang w:val="es-ES"/>
        </w:rPr>
        <w:t xml:space="preserve"> (5,8%). El porcentaje de casos con ultrasonido positivo fue significativamente mayor en el grupo con HO (17,6% frente a 2,9%). La probabilidad de hallazgo positivo en el US fue 3,1 veces mayor en los casos con HO. Todos los casos positivos en el grupo con HO tenían edema </w:t>
      </w:r>
      <w:proofErr w:type="spellStart"/>
      <w:r w:rsidRPr="007B4EFC">
        <w:rPr>
          <w:rFonts w:ascii="Arial" w:hAnsi="Arial" w:cs="Arial"/>
          <w:sz w:val="24"/>
          <w:szCs w:val="24"/>
          <w:lang w:val="es-ES"/>
        </w:rPr>
        <w:t>perivesicular</w:t>
      </w:r>
      <w:proofErr w:type="spellEnd"/>
      <w:r w:rsidRPr="007B4EFC">
        <w:rPr>
          <w:rFonts w:ascii="Arial" w:hAnsi="Arial" w:cs="Arial"/>
          <w:sz w:val="24"/>
          <w:szCs w:val="24"/>
          <w:lang w:val="es-ES"/>
        </w:rPr>
        <w:t>. Esta complicación fue 11 veces más probable en este grupo respecto a los que no tenían hipotensión. El líquido libre en cavidad y el derrame pleural no fueron diferentes entre los grupos de comparación. (Tabla 8)</w:t>
      </w:r>
    </w:p>
    <w:p w:rsidR="007B4EFC" w:rsidRPr="007B4EFC" w:rsidRDefault="007B4EFC" w:rsidP="007B4EFC">
      <w:pPr>
        <w:jc w:val="both"/>
        <w:rPr>
          <w:rFonts w:ascii="Arial" w:hAnsi="Arial" w:cs="Arial"/>
          <w:b/>
          <w:sz w:val="24"/>
          <w:szCs w:val="24"/>
          <w:lang w:val="es-ES"/>
        </w:rPr>
      </w:pPr>
    </w:p>
    <w:p w:rsidR="007B4EFC" w:rsidRPr="007B4EFC" w:rsidRDefault="007B4EFC" w:rsidP="007B4EFC">
      <w:pPr>
        <w:jc w:val="both"/>
        <w:rPr>
          <w:rFonts w:ascii="Arial" w:hAnsi="Arial" w:cs="Arial"/>
          <w:i/>
          <w:sz w:val="24"/>
          <w:szCs w:val="24"/>
          <w:lang w:val="es-CO"/>
        </w:rPr>
      </w:pPr>
      <w:r w:rsidRPr="007B4EFC">
        <w:rPr>
          <w:rFonts w:ascii="Arial" w:hAnsi="Arial" w:cs="Arial"/>
          <w:sz w:val="24"/>
          <w:szCs w:val="24"/>
          <w:lang w:val="es-CO"/>
        </w:rPr>
        <w:t xml:space="preserve">Tabla 9. </w:t>
      </w:r>
      <w:r w:rsidRPr="007B4EFC">
        <w:rPr>
          <w:rFonts w:ascii="Arial" w:hAnsi="Arial" w:cs="Arial"/>
          <w:b/>
          <w:sz w:val="24"/>
          <w:szCs w:val="24"/>
          <w:lang w:val="es-CO"/>
        </w:rPr>
        <w:t xml:space="preserve">Distribución de los pacientes según complicaciones y presencia o no de hipotensión </w:t>
      </w:r>
      <w:proofErr w:type="spellStart"/>
      <w:r w:rsidRPr="007B4EFC">
        <w:rPr>
          <w:rFonts w:ascii="Arial" w:hAnsi="Arial" w:cs="Arial"/>
          <w:b/>
          <w:sz w:val="24"/>
          <w:szCs w:val="24"/>
          <w:lang w:val="es-CO"/>
        </w:rPr>
        <w:t>ortostática</w:t>
      </w:r>
      <w:proofErr w:type="spellEnd"/>
      <w:r w:rsidRPr="007B4EFC">
        <w:rPr>
          <w:rFonts w:ascii="Arial" w:hAnsi="Arial" w:cs="Arial"/>
          <w:b/>
          <w:sz w:val="24"/>
          <w:szCs w:val="24"/>
          <w:lang w:val="es-CO"/>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4"/>
        <w:gridCol w:w="1578"/>
        <w:gridCol w:w="1510"/>
        <w:gridCol w:w="1555"/>
        <w:gridCol w:w="1781"/>
      </w:tblGrid>
      <w:tr w:rsidR="007B4EFC" w:rsidRPr="007B4EFC" w:rsidTr="001600B6">
        <w:trPr>
          <w:trHeight w:val="542"/>
          <w:jc w:val="center"/>
        </w:trPr>
        <w:tc>
          <w:tcPr>
            <w:tcW w:w="2460" w:type="dxa"/>
            <w:vMerge w:val="restart"/>
            <w:tcBorders>
              <w:top w:val="single" w:sz="12" w:space="0" w:color="auto"/>
              <w:lef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Complicaciones</w:t>
            </w:r>
          </w:p>
        </w:tc>
        <w:tc>
          <w:tcPr>
            <w:tcW w:w="3318" w:type="dxa"/>
            <w:gridSpan w:val="2"/>
            <w:tcBorders>
              <w:top w:val="single" w:sz="12" w:space="0" w:color="auto"/>
              <w:bottom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 xml:space="preserve">Hipotensión </w:t>
            </w:r>
            <w:proofErr w:type="spellStart"/>
            <w:r w:rsidRPr="007B4EFC">
              <w:rPr>
                <w:rFonts w:ascii="Arial" w:hAnsi="Arial" w:cs="Arial"/>
                <w:b/>
                <w:sz w:val="24"/>
                <w:szCs w:val="24"/>
                <w:lang w:val="es-CO"/>
              </w:rPr>
              <w:t>ortostática</w:t>
            </w:r>
            <w:proofErr w:type="spellEnd"/>
          </w:p>
        </w:tc>
        <w:tc>
          <w:tcPr>
            <w:tcW w:w="1672" w:type="dxa"/>
            <w:vMerge w:val="restart"/>
            <w:tcBorders>
              <w:top w:val="single" w:sz="12" w:space="0" w:color="auto"/>
              <w:right w:val="single" w:sz="4"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Total</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n=139</w:t>
            </w:r>
          </w:p>
        </w:tc>
        <w:tc>
          <w:tcPr>
            <w:tcW w:w="2002" w:type="dxa"/>
            <w:vMerge w:val="restart"/>
            <w:tcBorders>
              <w:top w:val="single" w:sz="12" w:space="0" w:color="auto"/>
              <w:left w:val="single" w:sz="4" w:space="0" w:color="auto"/>
              <w:right w:val="single" w:sz="12" w:space="0" w:color="auto"/>
            </w:tcBorders>
            <w:shd w:val="clear" w:color="auto" w:fill="BFBFBF"/>
          </w:tcPr>
          <w:p w:rsidR="007B4EFC" w:rsidRPr="007B4EFC" w:rsidRDefault="007B4EFC" w:rsidP="007B4EFC">
            <w:pPr>
              <w:jc w:val="both"/>
              <w:rPr>
                <w:rFonts w:ascii="Arial" w:hAnsi="Arial" w:cs="Arial"/>
                <w:b/>
                <w:sz w:val="24"/>
                <w:szCs w:val="24"/>
                <w:lang w:val="es-CO"/>
              </w:rPr>
            </w:pPr>
            <w:r w:rsidRPr="007B4EFC">
              <w:rPr>
                <w:rFonts w:ascii="Arial" w:hAnsi="Arial" w:cs="Arial"/>
                <w:b/>
                <w:sz w:val="24"/>
                <w:szCs w:val="24"/>
                <w:lang w:val="es-CO"/>
              </w:rPr>
              <w:t>OR (IC 95 %)</w:t>
            </w:r>
          </w:p>
        </w:tc>
      </w:tr>
      <w:tr w:rsidR="007B4EFC" w:rsidRPr="007B4EFC" w:rsidTr="001600B6">
        <w:trPr>
          <w:trHeight w:val="691"/>
          <w:jc w:val="center"/>
        </w:trPr>
        <w:tc>
          <w:tcPr>
            <w:tcW w:w="2460" w:type="dxa"/>
            <w:vMerge/>
            <w:tcBorders>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Si n=34</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 n=105</w:t>
            </w:r>
          </w:p>
        </w:tc>
        <w:tc>
          <w:tcPr>
            <w:tcW w:w="1672" w:type="dxa"/>
            <w:vMerge/>
            <w:tcBorders>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p>
        </w:tc>
        <w:tc>
          <w:tcPr>
            <w:tcW w:w="2002" w:type="dxa"/>
            <w:vMerge/>
            <w:tcBorders>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p>
        </w:tc>
      </w:tr>
      <w:tr w:rsidR="007B4EFC" w:rsidRPr="007B4EFC" w:rsidTr="001600B6">
        <w:trPr>
          <w:jc w:val="center"/>
        </w:trPr>
        <w:tc>
          <w:tcPr>
            <w:tcW w:w="2460" w:type="dxa"/>
            <w:tcBorders>
              <w:top w:val="single" w:sz="12" w:space="0" w:color="auto"/>
              <w:lef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Si *</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No</w:t>
            </w:r>
          </w:p>
        </w:tc>
        <w:tc>
          <w:tcPr>
            <w:tcW w:w="1701"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 (32,4%)</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23 (67,6%)</w:t>
            </w:r>
          </w:p>
        </w:tc>
        <w:tc>
          <w:tcPr>
            <w:tcW w:w="1617" w:type="dxa"/>
            <w:tcBorders>
              <w:top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8 (7,6%)</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97 (92,4%)</w:t>
            </w:r>
          </w:p>
        </w:tc>
        <w:tc>
          <w:tcPr>
            <w:tcW w:w="1672" w:type="dxa"/>
            <w:tcBorders>
              <w:top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19 (13,7%)</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120 (86,3%)</w:t>
            </w:r>
          </w:p>
        </w:tc>
        <w:tc>
          <w:tcPr>
            <w:tcW w:w="2002" w:type="dxa"/>
            <w:tcBorders>
              <w:top w:val="single" w:sz="12" w:space="0" w:color="auto"/>
              <w:left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3,02 (1,78-5,14)</w:t>
            </w:r>
          </w:p>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0,52 (0,31-0,89)</w:t>
            </w:r>
          </w:p>
        </w:tc>
      </w:tr>
      <w:tr w:rsidR="007B4EFC" w:rsidRPr="007B4EFC" w:rsidTr="001600B6">
        <w:trPr>
          <w:trHeight w:val="599"/>
          <w:jc w:val="center"/>
        </w:trPr>
        <w:tc>
          <w:tcPr>
            <w:tcW w:w="2460" w:type="dxa"/>
            <w:tcBorders>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proofErr w:type="spellStart"/>
            <w:r w:rsidRPr="007B4EFC">
              <w:rPr>
                <w:rFonts w:ascii="Arial" w:hAnsi="Arial" w:cs="Arial"/>
                <w:sz w:val="24"/>
                <w:szCs w:val="24"/>
                <w:lang w:val="es-CO"/>
              </w:rPr>
              <w:t>Serositis</w:t>
            </w:r>
            <w:proofErr w:type="spellEnd"/>
          </w:p>
        </w:tc>
        <w:tc>
          <w:tcPr>
            <w:tcW w:w="1701"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 (5,9%)</w:t>
            </w:r>
          </w:p>
        </w:tc>
        <w:tc>
          <w:tcPr>
            <w:tcW w:w="1617" w:type="dxa"/>
            <w:tcBorders>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2 (1,9%)</w:t>
            </w:r>
          </w:p>
        </w:tc>
        <w:tc>
          <w:tcPr>
            <w:tcW w:w="1672" w:type="dxa"/>
            <w:tcBorders>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4 (2,9%)</w:t>
            </w:r>
          </w:p>
        </w:tc>
        <w:tc>
          <w:tcPr>
            <w:tcW w:w="2002" w:type="dxa"/>
            <w:tcBorders>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3,22 (0,44-23,8)</w:t>
            </w:r>
          </w:p>
        </w:tc>
      </w:tr>
      <w:tr w:rsidR="007B4EFC" w:rsidRPr="007B4EFC" w:rsidTr="001600B6">
        <w:trPr>
          <w:trHeight w:val="264"/>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lastRenderedPageBreak/>
              <w:t>Hemorragia **</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6 (17,6%)</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5 (4,8%)</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11 (7,9%)</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4,29 (1,22-15,1)</w:t>
            </w:r>
          </w:p>
        </w:tc>
      </w:tr>
      <w:tr w:rsidR="007B4EFC" w:rsidRPr="007B4EFC" w:rsidTr="001600B6">
        <w:trPr>
          <w:trHeight w:val="311"/>
          <w:jc w:val="center"/>
        </w:trPr>
        <w:tc>
          <w:tcPr>
            <w:tcW w:w="2460" w:type="dxa"/>
            <w:tcBorders>
              <w:top w:val="single" w:sz="4" w:space="0" w:color="auto"/>
              <w:left w:val="single" w:sz="12"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Hematuria</w:t>
            </w:r>
          </w:p>
        </w:tc>
        <w:tc>
          <w:tcPr>
            <w:tcW w:w="1701"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 (0,0%)</w:t>
            </w:r>
          </w:p>
        </w:tc>
        <w:tc>
          <w:tcPr>
            <w:tcW w:w="1617" w:type="dxa"/>
            <w:tcBorders>
              <w:top w:val="single" w:sz="4" w:space="0" w:color="auto"/>
              <w:bottom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(0,9%)</w:t>
            </w:r>
          </w:p>
        </w:tc>
        <w:tc>
          <w:tcPr>
            <w:tcW w:w="1672" w:type="dxa"/>
            <w:tcBorders>
              <w:top w:val="single" w:sz="4" w:space="0" w:color="auto"/>
              <w:bottom w:val="single" w:sz="4"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1 (0,7%)</w:t>
            </w:r>
          </w:p>
        </w:tc>
        <w:tc>
          <w:tcPr>
            <w:tcW w:w="2002" w:type="dxa"/>
            <w:tcBorders>
              <w:top w:val="single" w:sz="4" w:space="0" w:color="auto"/>
              <w:left w:val="single" w:sz="4" w:space="0" w:color="auto"/>
              <w:bottom w:val="single" w:sz="4"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w:t>
            </w:r>
          </w:p>
        </w:tc>
      </w:tr>
      <w:tr w:rsidR="007B4EFC" w:rsidRPr="007B4EFC" w:rsidTr="001600B6">
        <w:trPr>
          <w:trHeight w:val="56"/>
          <w:jc w:val="center"/>
        </w:trPr>
        <w:tc>
          <w:tcPr>
            <w:tcW w:w="2460" w:type="dxa"/>
            <w:tcBorders>
              <w:top w:val="single" w:sz="4" w:space="0" w:color="auto"/>
              <w:left w:val="single" w:sz="12"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Dolor abdominal persistente</w:t>
            </w:r>
          </w:p>
        </w:tc>
        <w:tc>
          <w:tcPr>
            <w:tcW w:w="1701"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 (8,8%)</w:t>
            </w:r>
          </w:p>
        </w:tc>
        <w:tc>
          <w:tcPr>
            <w:tcW w:w="1617" w:type="dxa"/>
            <w:tcBorders>
              <w:top w:val="single" w:sz="4" w:space="0" w:color="auto"/>
              <w:bottom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0 (0,0%)</w:t>
            </w:r>
          </w:p>
        </w:tc>
        <w:tc>
          <w:tcPr>
            <w:tcW w:w="1672" w:type="dxa"/>
            <w:tcBorders>
              <w:top w:val="single" w:sz="4" w:space="0" w:color="auto"/>
              <w:bottom w:val="single" w:sz="12" w:space="0" w:color="auto"/>
              <w:right w:val="single" w:sz="4"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3 (2,9%)</w:t>
            </w:r>
          </w:p>
        </w:tc>
        <w:tc>
          <w:tcPr>
            <w:tcW w:w="2002" w:type="dxa"/>
            <w:tcBorders>
              <w:top w:val="single" w:sz="4" w:space="0" w:color="auto"/>
              <w:left w:val="single" w:sz="4" w:space="0" w:color="auto"/>
              <w:bottom w:val="single" w:sz="12" w:space="0" w:color="auto"/>
              <w:right w:val="single" w:sz="12" w:space="0" w:color="auto"/>
            </w:tcBorders>
            <w:shd w:val="clear" w:color="auto" w:fill="auto"/>
          </w:tcPr>
          <w:p w:rsidR="007B4EFC" w:rsidRPr="007B4EFC" w:rsidRDefault="007B4EFC" w:rsidP="007B4EFC">
            <w:pPr>
              <w:jc w:val="both"/>
              <w:rPr>
                <w:rFonts w:ascii="Arial" w:hAnsi="Arial" w:cs="Arial"/>
                <w:sz w:val="24"/>
                <w:szCs w:val="24"/>
                <w:lang w:val="es-CO"/>
              </w:rPr>
            </w:pPr>
            <w:r w:rsidRPr="007B4EFC">
              <w:rPr>
                <w:rFonts w:ascii="Arial" w:hAnsi="Arial" w:cs="Arial"/>
                <w:sz w:val="24"/>
                <w:szCs w:val="24"/>
                <w:lang w:val="es-CO"/>
              </w:rPr>
              <w:t>--</w:t>
            </w:r>
          </w:p>
        </w:tc>
      </w:tr>
    </w:tbl>
    <w:p w:rsidR="007B4EFC" w:rsidRPr="007B4EFC" w:rsidRDefault="007B4EFC" w:rsidP="007B4EFC">
      <w:pPr>
        <w:jc w:val="both"/>
        <w:rPr>
          <w:rFonts w:ascii="Arial" w:hAnsi="Arial" w:cs="Arial"/>
          <w:b/>
          <w:sz w:val="24"/>
          <w:szCs w:val="24"/>
          <w:vertAlign w:val="superscript"/>
          <w:lang w:val="es-CO"/>
        </w:rPr>
      </w:pPr>
      <w:r w:rsidRPr="007B4EFC">
        <w:rPr>
          <w:rFonts w:ascii="Arial" w:hAnsi="Arial" w:cs="Arial"/>
          <w:b/>
          <w:sz w:val="24"/>
          <w:szCs w:val="24"/>
          <w:lang w:val="es-CO"/>
        </w:rPr>
        <w:t>* X</w:t>
      </w:r>
      <w:r w:rsidRPr="007B4EFC">
        <w:rPr>
          <w:rFonts w:ascii="Arial" w:hAnsi="Arial" w:cs="Arial"/>
          <w:b/>
          <w:sz w:val="24"/>
          <w:szCs w:val="24"/>
          <w:vertAlign w:val="superscript"/>
          <w:lang w:val="es-CO"/>
        </w:rPr>
        <w:t>2</w:t>
      </w:r>
      <w:r w:rsidRPr="007B4EFC">
        <w:rPr>
          <w:rFonts w:ascii="Arial" w:hAnsi="Arial" w:cs="Arial"/>
          <w:b/>
          <w:sz w:val="24"/>
          <w:szCs w:val="24"/>
          <w:lang w:val="es-CO"/>
        </w:rPr>
        <w:t xml:space="preserve">=13,315; p=0,0001    </w:t>
      </w:r>
      <w:r w:rsidRPr="007B4EFC">
        <w:rPr>
          <w:rFonts w:ascii="Arial" w:hAnsi="Arial" w:cs="Arial"/>
          <w:sz w:val="24"/>
          <w:szCs w:val="24"/>
          <w:lang w:val="es-CO"/>
        </w:rPr>
        <w:t xml:space="preserve">** </w:t>
      </w:r>
      <w:r w:rsidRPr="007B4EFC">
        <w:rPr>
          <w:rFonts w:ascii="Arial" w:hAnsi="Arial" w:cs="Arial"/>
          <w:b/>
          <w:sz w:val="24"/>
          <w:szCs w:val="24"/>
          <w:lang w:val="es-CO"/>
        </w:rPr>
        <w:t>X</w:t>
      </w:r>
      <w:r w:rsidRPr="007B4EFC">
        <w:rPr>
          <w:rFonts w:ascii="Arial" w:hAnsi="Arial" w:cs="Arial"/>
          <w:b/>
          <w:sz w:val="24"/>
          <w:szCs w:val="24"/>
          <w:vertAlign w:val="superscript"/>
          <w:lang w:val="es-CO"/>
        </w:rPr>
        <w:t>2</w:t>
      </w:r>
      <w:r w:rsidRPr="007B4EFC">
        <w:rPr>
          <w:rFonts w:ascii="Arial" w:hAnsi="Arial" w:cs="Arial"/>
          <w:b/>
          <w:sz w:val="24"/>
          <w:szCs w:val="24"/>
          <w:lang w:val="es-CO"/>
        </w:rPr>
        <w:t>=5,8514; p=0,016</w:t>
      </w:r>
    </w:p>
    <w:p w:rsidR="007B4EFC" w:rsidRPr="007B4EFC" w:rsidRDefault="007B4EFC" w:rsidP="007B4EFC">
      <w:pPr>
        <w:jc w:val="both"/>
        <w:rPr>
          <w:rFonts w:ascii="Arial" w:hAnsi="Arial" w:cs="Arial"/>
          <w:b/>
          <w:sz w:val="24"/>
          <w:szCs w:val="24"/>
          <w:lang w:val="es-ES"/>
        </w:rPr>
      </w:pPr>
    </w:p>
    <w:p w:rsidR="007B4EFC" w:rsidRDefault="007B4EFC" w:rsidP="007B4EFC">
      <w:pPr>
        <w:jc w:val="both"/>
        <w:rPr>
          <w:rFonts w:ascii="Arial" w:hAnsi="Arial" w:cs="Arial"/>
          <w:sz w:val="24"/>
          <w:szCs w:val="24"/>
          <w:lang w:val="es-ES"/>
        </w:rPr>
      </w:pPr>
      <w:r w:rsidRPr="007B4EFC">
        <w:rPr>
          <w:rFonts w:ascii="Arial" w:hAnsi="Arial" w:cs="Arial"/>
          <w:sz w:val="24"/>
          <w:szCs w:val="24"/>
          <w:lang w:val="es-ES"/>
        </w:rPr>
        <w:t xml:space="preserve">El 13,7% de los pacientes presentaron algún tipo de complicación, de las cuales la más frecuente fue la hemorragia (7,9%). Otras complicaciones fueron la </w:t>
      </w:r>
      <w:proofErr w:type="spellStart"/>
      <w:r w:rsidRPr="007B4EFC">
        <w:rPr>
          <w:rFonts w:ascii="Arial" w:hAnsi="Arial" w:cs="Arial"/>
          <w:sz w:val="24"/>
          <w:szCs w:val="24"/>
          <w:lang w:val="es-ES"/>
        </w:rPr>
        <w:t>serositis</w:t>
      </w:r>
      <w:proofErr w:type="spellEnd"/>
      <w:r w:rsidRPr="007B4EFC">
        <w:rPr>
          <w:rFonts w:ascii="Arial" w:hAnsi="Arial" w:cs="Arial"/>
          <w:sz w:val="24"/>
          <w:szCs w:val="24"/>
          <w:lang w:val="es-ES"/>
        </w:rPr>
        <w:t>, el dolor abdominal persistente y la hematuria, por ese orden. El porcentaje de pacientes con complicaciones fue significativamente mayor en el grupo con HO (32,4% frente a 7,6%). La probabilidad de complicaciones fue tres veces mayor en este grupo. De todas las complicaciones, la hemorragia fue la que mostró una probabilidad 4,29 veces mayor a presentarse en el grupo con HO. El resto de las complicaciones no mostró diferencias significativas. (Tabla 9)</w:t>
      </w:r>
    </w:p>
    <w:p w:rsidR="00210DC6" w:rsidRPr="00210DC6" w:rsidRDefault="00210DC6" w:rsidP="00210DC6">
      <w:pPr>
        <w:jc w:val="both"/>
        <w:rPr>
          <w:rFonts w:ascii="Arial" w:hAnsi="Arial" w:cs="Arial"/>
          <w:sz w:val="24"/>
          <w:szCs w:val="24"/>
          <w:lang w:val="es-ES"/>
        </w:rPr>
      </w:pPr>
      <w:r w:rsidRPr="00210DC6">
        <w:rPr>
          <w:rFonts w:ascii="Arial" w:hAnsi="Arial" w:cs="Arial"/>
          <w:sz w:val="24"/>
          <w:szCs w:val="24"/>
          <w:lang w:val="es-ES"/>
        </w:rPr>
        <w:t>En el presente estudio, la HO se relacionó de manera significativa con la presencia incrementada de complicaciones y de hallazgos positivos en el ultrasonido abdominal que confieren gravedad a pacientes confirmados con dengue.</w:t>
      </w:r>
      <w:r w:rsidR="00A87633">
        <w:rPr>
          <w:rFonts w:ascii="Arial" w:hAnsi="Arial" w:cs="Arial"/>
          <w:sz w:val="24"/>
          <w:szCs w:val="24"/>
          <w:lang w:val="es-ES"/>
        </w:rPr>
        <w:t xml:space="preserve"> </w:t>
      </w:r>
      <w:r>
        <w:rPr>
          <w:rFonts w:ascii="Arial" w:hAnsi="Arial" w:cs="Arial"/>
          <w:sz w:val="24"/>
          <w:szCs w:val="24"/>
          <w:lang w:val="es-ES"/>
        </w:rPr>
        <w:t xml:space="preserve">Hasta donde se conoce </w:t>
      </w:r>
      <w:r w:rsidRPr="00210DC6">
        <w:rPr>
          <w:rFonts w:ascii="Arial" w:hAnsi="Arial" w:cs="Arial"/>
          <w:sz w:val="24"/>
          <w:szCs w:val="24"/>
          <w:lang w:val="es-ES"/>
        </w:rPr>
        <w:t xml:space="preserve">este es el primer estudio en demostrar la validez </w:t>
      </w:r>
      <w:r w:rsidR="002746B7" w:rsidRPr="00210DC6">
        <w:rPr>
          <w:rFonts w:ascii="Arial" w:hAnsi="Arial" w:cs="Arial"/>
          <w:sz w:val="24"/>
          <w:szCs w:val="24"/>
          <w:lang w:val="es-ES"/>
        </w:rPr>
        <w:t>pronostica</w:t>
      </w:r>
      <w:r w:rsidRPr="00210DC6">
        <w:rPr>
          <w:rFonts w:ascii="Arial" w:hAnsi="Arial" w:cs="Arial"/>
          <w:sz w:val="24"/>
          <w:szCs w:val="24"/>
          <w:lang w:val="es-ES"/>
        </w:rPr>
        <w:t xml:space="preserve"> de la HO en pacientes con dengue.</w:t>
      </w:r>
    </w:p>
    <w:p w:rsidR="00210DC6" w:rsidRPr="00210DC6" w:rsidRDefault="00210DC6" w:rsidP="00210DC6">
      <w:pPr>
        <w:jc w:val="both"/>
        <w:rPr>
          <w:rFonts w:ascii="Arial" w:hAnsi="Arial" w:cs="Arial"/>
          <w:sz w:val="24"/>
          <w:szCs w:val="24"/>
          <w:lang w:val="es-ES"/>
        </w:rPr>
      </w:pPr>
      <w:proofErr w:type="spellStart"/>
      <w:r w:rsidRPr="00210DC6">
        <w:rPr>
          <w:rFonts w:ascii="Arial" w:hAnsi="Arial" w:cs="Arial"/>
          <w:sz w:val="24"/>
          <w:szCs w:val="24"/>
          <w:lang w:val="es-ES"/>
        </w:rPr>
        <w:t>Badia</w:t>
      </w:r>
      <w:proofErr w:type="spellEnd"/>
      <w:r w:rsidRPr="00210DC6">
        <w:rPr>
          <w:rFonts w:ascii="Arial" w:hAnsi="Arial" w:cs="Arial"/>
          <w:sz w:val="24"/>
          <w:szCs w:val="24"/>
          <w:lang w:val="es-ES"/>
        </w:rPr>
        <w:t xml:space="preserve"> et al, </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34</w:t>
      </w:r>
      <w:r w:rsidRPr="00210DC6">
        <w:rPr>
          <w:rFonts w:ascii="Arial" w:hAnsi="Arial" w:cs="Arial"/>
          <w:b/>
          <w:sz w:val="24"/>
          <w:szCs w:val="24"/>
          <w:vertAlign w:val="superscript"/>
          <w:lang w:val="es-ES"/>
        </w:rPr>
        <w:t>)</w:t>
      </w:r>
      <w:r w:rsidRPr="00210DC6">
        <w:rPr>
          <w:rFonts w:ascii="Arial" w:hAnsi="Arial" w:cs="Arial"/>
          <w:sz w:val="24"/>
          <w:szCs w:val="24"/>
          <w:lang w:val="es-ES"/>
        </w:rPr>
        <w:t xml:space="preserve"> seleccionaron a sujetos mayores de 80 años, la mayoría mujeres, que vivían tanto en la comunidad como en instituciones. Se realizó un seguimiento de 2,9 años de media en el que casi la mitad de los sujetos fallecían. Se encontró que la HO era un factor predictor de la mortalidad de manera independiente con una probabilidad 3,78 veces mayor. </w:t>
      </w:r>
      <w:proofErr w:type="spellStart"/>
      <w:r w:rsidRPr="00210DC6">
        <w:rPr>
          <w:rFonts w:ascii="Arial" w:hAnsi="Arial" w:cs="Arial"/>
          <w:sz w:val="24"/>
          <w:szCs w:val="24"/>
          <w:lang w:val="es-ES"/>
        </w:rPr>
        <w:t>Fedorowski</w:t>
      </w:r>
      <w:proofErr w:type="spellEnd"/>
      <w:r w:rsidRPr="00210DC6">
        <w:rPr>
          <w:rFonts w:ascii="Arial" w:hAnsi="Arial" w:cs="Arial"/>
          <w:sz w:val="24"/>
          <w:szCs w:val="24"/>
          <w:lang w:val="es-ES"/>
        </w:rPr>
        <w:t xml:space="preserve"> et al, </w:t>
      </w:r>
      <w:r w:rsidRPr="00210DC6">
        <w:rPr>
          <w:rFonts w:ascii="Arial" w:hAnsi="Arial" w:cs="Arial"/>
          <w:b/>
          <w:sz w:val="24"/>
          <w:szCs w:val="24"/>
          <w:vertAlign w:val="superscript"/>
          <w:lang w:val="es-ES"/>
        </w:rPr>
        <w:t>(</w:t>
      </w:r>
      <w:r w:rsidR="00A87633" w:rsidRPr="00091A58">
        <w:rPr>
          <w:rFonts w:ascii="Arial" w:hAnsi="Arial" w:cs="Arial"/>
          <w:b/>
          <w:sz w:val="24"/>
          <w:szCs w:val="24"/>
          <w:vertAlign w:val="superscript"/>
          <w:lang w:val="es-ES"/>
        </w:rPr>
        <w:t>17</w:t>
      </w:r>
      <w:r w:rsidRPr="00091A58">
        <w:rPr>
          <w:rFonts w:ascii="Arial" w:hAnsi="Arial" w:cs="Arial"/>
          <w:b/>
          <w:sz w:val="24"/>
          <w:szCs w:val="24"/>
          <w:vertAlign w:val="superscript"/>
          <w:lang w:val="es-ES"/>
        </w:rPr>
        <w:t>)</w:t>
      </w:r>
      <w:r w:rsidRPr="00091A58">
        <w:rPr>
          <w:rFonts w:ascii="Arial" w:hAnsi="Arial" w:cs="Arial"/>
          <w:sz w:val="24"/>
          <w:szCs w:val="24"/>
          <w:lang w:val="es-ES"/>
        </w:rPr>
        <w:t xml:space="preserve"> </w:t>
      </w:r>
      <w:r w:rsidRPr="00210DC6">
        <w:rPr>
          <w:rFonts w:ascii="Arial" w:hAnsi="Arial" w:cs="Arial"/>
          <w:sz w:val="24"/>
          <w:szCs w:val="24"/>
          <w:lang w:val="es-ES"/>
        </w:rPr>
        <w:t xml:space="preserve">seleccionaron a sujetos de entre 26 y 61 años, con un seguimiento medio de 22,7 años, y encontraron asociación entre la HO y la mortalidad. </w:t>
      </w:r>
    </w:p>
    <w:p w:rsidR="00210DC6" w:rsidRPr="00210DC6" w:rsidRDefault="00210DC6" w:rsidP="00210DC6">
      <w:pPr>
        <w:jc w:val="both"/>
        <w:rPr>
          <w:rFonts w:ascii="Arial" w:hAnsi="Arial" w:cs="Arial"/>
          <w:sz w:val="24"/>
          <w:szCs w:val="24"/>
          <w:lang w:val="es-ES"/>
        </w:rPr>
      </w:pPr>
      <w:r w:rsidRPr="00210DC6">
        <w:rPr>
          <w:rFonts w:ascii="Arial" w:hAnsi="Arial" w:cs="Arial"/>
          <w:sz w:val="24"/>
          <w:szCs w:val="24"/>
          <w:lang w:val="es-ES"/>
        </w:rPr>
        <w:t xml:space="preserve">En </w:t>
      </w:r>
      <w:proofErr w:type="gramStart"/>
      <w:r w:rsidRPr="00210DC6">
        <w:rPr>
          <w:rFonts w:ascii="Arial" w:hAnsi="Arial" w:cs="Arial"/>
          <w:sz w:val="24"/>
          <w:szCs w:val="24"/>
          <w:lang w:val="es-ES"/>
        </w:rPr>
        <w:t>diversos meta-análisis</w:t>
      </w:r>
      <w:proofErr w:type="gramEnd"/>
      <w:r w:rsidRPr="00210DC6">
        <w:rPr>
          <w:rFonts w:ascii="Arial" w:hAnsi="Arial" w:cs="Arial"/>
          <w:sz w:val="24"/>
          <w:szCs w:val="24"/>
          <w:lang w:val="es-ES"/>
        </w:rPr>
        <w:t xml:space="preserve"> se afirma que la HO se asocia con la mortalidad global a pesar de que las investigaciones son heterogéneas. </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35</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w:t>
      </w:r>
      <w:r w:rsidRPr="00210DC6">
        <w:rPr>
          <w:rFonts w:ascii="Arial" w:hAnsi="Arial" w:cs="Arial"/>
          <w:b/>
          <w:sz w:val="24"/>
          <w:szCs w:val="24"/>
          <w:vertAlign w:val="superscript"/>
          <w:lang w:val="es-ES"/>
        </w:rPr>
        <w:t>7)</w:t>
      </w:r>
      <w:r w:rsidRPr="00210DC6">
        <w:rPr>
          <w:rFonts w:ascii="Arial" w:hAnsi="Arial" w:cs="Arial"/>
          <w:sz w:val="24"/>
          <w:szCs w:val="24"/>
          <w:lang w:val="es-ES"/>
        </w:rPr>
        <w:t xml:space="preserve"> En los estudios donde la prevalencia de la HO es menor del 10 % se ve que el riesgo de morir por cualquier causa se multiplica por 1,5190. Se afirma además que la HO se asocia con un aumento del 36 % en el riesgo de mortalidad global, </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36</w:t>
      </w:r>
      <w:r w:rsidRPr="00210DC6">
        <w:rPr>
          <w:rFonts w:ascii="Arial" w:hAnsi="Arial" w:cs="Arial"/>
          <w:b/>
          <w:sz w:val="24"/>
          <w:szCs w:val="24"/>
          <w:vertAlign w:val="superscript"/>
          <w:lang w:val="es-ES"/>
        </w:rPr>
        <w:t>)</w:t>
      </w:r>
      <w:r w:rsidRPr="00210DC6">
        <w:rPr>
          <w:rFonts w:ascii="Arial" w:hAnsi="Arial" w:cs="Arial"/>
          <w:sz w:val="24"/>
          <w:szCs w:val="24"/>
          <w:lang w:val="es-ES"/>
        </w:rPr>
        <w:t xml:space="preserve"> con resultados parecidos (40 %) en otras investigaciones. </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37</w:t>
      </w:r>
      <w:r w:rsidRPr="00210DC6">
        <w:rPr>
          <w:rFonts w:ascii="Arial" w:hAnsi="Arial" w:cs="Arial"/>
          <w:b/>
          <w:sz w:val="24"/>
          <w:szCs w:val="24"/>
          <w:vertAlign w:val="superscript"/>
          <w:lang w:val="es-ES"/>
        </w:rPr>
        <w:t>)</w:t>
      </w:r>
      <w:r w:rsidRPr="00210DC6">
        <w:rPr>
          <w:rFonts w:ascii="Arial" w:hAnsi="Arial" w:cs="Arial"/>
          <w:sz w:val="24"/>
          <w:szCs w:val="24"/>
          <w:lang w:val="es-ES"/>
        </w:rPr>
        <w:t xml:space="preserve"> Por el contrario, otros autores como </w:t>
      </w:r>
      <w:proofErr w:type="spellStart"/>
      <w:r w:rsidRPr="00210DC6">
        <w:rPr>
          <w:rFonts w:ascii="Arial" w:hAnsi="Arial" w:cs="Arial"/>
          <w:sz w:val="24"/>
          <w:szCs w:val="24"/>
          <w:lang w:val="es-ES"/>
        </w:rPr>
        <w:t>Veronese</w:t>
      </w:r>
      <w:proofErr w:type="spellEnd"/>
      <w:r w:rsidRPr="00210DC6">
        <w:rPr>
          <w:rFonts w:ascii="Arial" w:hAnsi="Arial" w:cs="Arial"/>
          <w:sz w:val="24"/>
          <w:szCs w:val="24"/>
          <w:lang w:val="es-ES"/>
        </w:rPr>
        <w:t xml:space="preserve"> et al </w:t>
      </w:r>
      <w:r w:rsidRPr="00210DC6">
        <w:rPr>
          <w:rFonts w:ascii="Arial" w:hAnsi="Arial" w:cs="Arial"/>
          <w:b/>
          <w:sz w:val="24"/>
          <w:szCs w:val="24"/>
          <w:vertAlign w:val="superscript"/>
          <w:lang w:val="es-ES"/>
        </w:rPr>
        <w:t>(</w:t>
      </w:r>
      <w:r w:rsidR="00091A58" w:rsidRPr="00091A58">
        <w:rPr>
          <w:rFonts w:ascii="Arial" w:hAnsi="Arial" w:cs="Arial"/>
          <w:b/>
          <w:sz w:val="24"/>
          <w:szCs w:val="24"/>
          <w:vertAlign w:val="superscript"/>
          <w:lang w:val="es-ES"/>
        </w:rPr>
        <w:t>11</w:t>
      </w:r>
      <w:r w:rsidRPr="00091A58">
        <w:rPr>
          <w:rFonts w:ascii="Arial" w:hAnsi="Arial" w:cs="Arial"/>
          <w:b/>
          <w:sz w:val="24"/>
          <w:szCs w:val="24"/>
          <w:vertAlign w:val="superscript"/>
          <w:lang w:val="es-ES"/>
        </w:rPr>
        <w:t>)</w:t>
      </w:r>
      <w:r w:rsidRPr="00091A58">
        <w:rPr>
          <w:rFonts w:ascii="Arial" w:hAnsi="Arial" w:cs="Arial"/>
          <w:sz w:val="24"/>
          <w:szCs w:val="24"/>
          <w:lang w:val="es-ES"/>
        </w:rPr>
        <w:t xml:space="preserve"> </w:t>
      </w:r>
      <w:r w:rsidRPr="00210DC6">
        <w:rPr>
          <w:rFonts w:ascii="Arial" w:hAnsi="Arial" w:cs="Arial"/>
          <w:sz w:val="24"/>
          <w:szCs w:val="24"/>
          <w:lang w:val="es-ES"/>
        </w:rPr>
        <w:t xml:space="preserve">y </w:t>
      </w:r>
      <w:proofErr w:type="spellStart"/>
      <w:r w:rsidRPr="00210DC6">
        <w:rPr>
          <w:rFonts w:ascii="Arial" w:hAnsi="Arial" w:cs="Arial"/>
          <w:sz w:val="24"/>
          <w:szCs w:val="24"/>
          <w:lang w:val="es-ES"/>
        </w:rPr>
        <w:t>Rockwood</w:t>
      </w:r>
      <w:proofErr w:type="spellEnd"/>
      <w:r w:rsidRPr="00210DC6">
        <w:rPr>
          <w:rFonts w:ascii="Arial" w:hAnsi="Arial" w:cs="Arial"/>
          <w:sz w:val="24"/>
          <w:szCs w:val="24"/>
          <w:lang w:val="es-ES"/>
        </w:rPr>
        <w:t xml:space="preserve"> et al </w:t>
      </w:r>
      <w:r w:rsidRPr="00210DC6">
        <w:rPr>
          <w:rFonts w:ascii="Arial" w:hAnsi="Arial" w:cs="Arial"/>
          <w:b/>
          <w:sz w:val="24"/>
          <w:szCs w:val="24"/>
          <w:vertAlign w:val="superscript"/>
          <w:lang w:val="es-ES"/>
        </w:rPr>
        <w:t>(</w:t>
      </w:r>
      <w:r w:rsidR="002746B7">
        <w:rPr>
          <w:rFonts w:ascii="Arial" w:hAnsi="Arial" w:cs="Arial"/>
          <w:b/>
          <w:sz w:val="24"/>
          <w:szCs w:val="24"/>
          <w:vertAlign w:val="superscript"/>
          <w:lang w:val="es-ES"/>
        </w:rPr>
        <w:t>38</w:t>
      </w:r>
      <w:r w:rsidRPr="00210DC6">
        <w:rPr>
          <w:rFonts w:ascii="Arial" w:hAnsi="Arial" w:cs="Arial"/>
          <w:b/>
          <w:sz w:val="24"/>
          <w:szCs w:val="24"/>
          <w:vertAlign w:val="superscript"/>
          <w:lang w:val="es-ES"/>
        </w:rPr>
        <w:t>)</w:t>
      </w:r>
      <w:r w:rsidRPr="00210DC6">
        <w:rPr>
          <w:rFonts w:ascii="Arial" w:hAnsi="Arial" w:cs="Arial"/>
          <w:sz w:val="24"/>
          <w:szCs w:val="24"/>
          <w:lang w:val="es-ES"/>
        </w:rPr>
        <w:t xml:space="preserve"> no encontraron asociación entre la HO y la mortalidad general. </w:t>
      </w:r>
    </w:p>
    <w:p w:rsidR="00210DC6" w:rsidRPr="00210DC6" w:rsidRDefault="00210DC6" w:rsidP="00210DC6">
      <w:pPr>
        <w:jc w:val="both"/>
        <w:rPr>
          <w:rFonts w:ascii="Arial" w:hAnsi="Arial" w:cs="Arial"/>
          <w:sz w:val="24"/>
          <w:szCs w:val="24"/>
          <w:lang w:val="es-ES"/>
        </w:rPr>
      </w:pPr>
      <w:r w:rsidRPr="00210DC6">
        <w:rPr>
          <w:rFonts w:ascii="Arial" w:hAnsi="Arial" w:cs="Arial"/>
          <w:sz w:val="24"/>
          <w:szCs w:val="24"/>
          <w:lang w:val="es-ES"/>
        </w:rPr>
        <w:lastRenderedPageBreak/>
        <w:t xml:space="preserve">Los resultados de los estudios realizados en la población general, en población geriátrica y en poblaciones específicas diferentes al contexto de la infección por dengue, pueden extrapolarse a estos enfermos, si se tiene en cuenta que la extravasación que conlleva a un estado </w:t>
      </w:r>
      <w:proofErr w:type="spellStart"/>
      <w:r w:rsidRPr="00210DC6">
        <w:rPr>
          <w:rFonts w:ascii="Arial" w:hAnsi="Arial" w:cs="Arial"/>
          <w:sz w:val="24"/>
          <w:szCs w:val="24"/>
          <w:lang w:val="es-ES"/>
        </w:rPr>
        <w:t>hipotensivo</w:t>
      </w:r>
      <w:proofErr w:type="spellEnd"/>
      <w:r w:rsidRPr="00210DC6">
        <w:rPr>
          <w:rFonts w:ascii="Arial" w:hAnsi="Arial" w:cs="Arial"/>
          <w:sz w:val="24"/>
          <w:szCs w:val="24"/>
          <w:lang w:val="es-ES"/>
        </w:rPr>
        <w:t xml:space="preserve"> puede detectarse en sus estadios iniciales mediante un test provocado por el </w:t>
      </w:r>
      <w:proofErr w:type="spellStart"/>
      <w:r w:rsidRPr="00210DC6">
        <w:rPr>
          <w:rFonts w:ascii="Arial" w:hAnsi="Arial" w:cs="Arial"/>
          <w:sz w:val="24"/>
          <w:szCs w:val="24"/>
          <w:lang w:val="es-ES"/>
        </w:rPr>
        <w:t>ortostatismo</w:t>
      </w:r>
      <w:proofErr w:type="spellEnd"/>
      <w:r w:rsidRPr="00210DC6">
        <w:rPr>
          <w:rFonts w:ascii="Arial" w:hAnsi="Arial" w:cs="Arial"/>
          <w:sz w:val="24"/>
          <w:szCs w:val="24"/>
          <w:lang w:val="es-ES"/>
        </w:rPr>
        <w:t xml:space="preserve">. En el presente estudio, la HO se relacionó con prácticamente todos los elementos que implican alarma o severidad en un paciente con dengue: desde manifestaciones clínicas como el dolor abdominal y los vómitos, el conteo bajo de plaquetas, hasta la presencia de signos </w:t>
      </w:r>
      <w:proofErr w:type="spellStart"/>
      <w:r w:rsidRPr="00210DC6">
        <w:rPr>
          <w:rFonts w:ascii="Arial" w:hAnsi="Arial" w:cs="Arial"/>
          <w:sz w:val="24"/>
          <w:szCs w:val="24"/>
          <w:lang w:val="es-ES"/>
        </w:rPr>
        <w:t>ultrasonográficos</w:t>
      </w:r>
      <w:proofErr w:type="spellEnd"/>
      <w:r w:rsidRPr="00210DC6">
        <w:rPr>
          <w:rFonts w:ascii="Arial" w:hAnsi="Arial" w:cs="Arial"/>
          <w:sz w:val="24"/>
          <w:szCs w:val="24"/>
          <w:lang w:val="es-ES"/>
        </w:rPr>
        <w:t xml:space="preserve"> como el edema </w:t>
      </w:r>
      <w:proofErr w:type="spellStart"/>
      <w:r w:rsidRPr="00210DC6">
        <w:rPr>
          <w:rFonts w:ascii="Arial" w:hAnsi="Arial" w:cs="Arial"/>
          <w:sz w:val="24"/>
          <w:szCs w:val="24"/>
          <w:lang w:val="es-ES"/>
        </w:rPr>
        <w:t>perivesicular</w:t>
      </w:r>
      <w:proofErr w:type="spellEnd"/>
      <w:r w:rsidRPr="00210DC6">
        <w:rPr>
          <w:rFonts w:ascii="Arial" w:hAnsi="Arial" w:cs="Arial"/>
          <w:sz w:val="24"/>
          <w:szCs w:val="24"/>
          <w:lang w:val="es-ES"/>
        </w:rPr>
        <w:t xml:space="preserve"> y la probabilidad incrementada de complicaciones como la hemorragia. </w:t>
      </w:r>
    </w:p>
    <w:p w:rsidR="00210DC6" w:rsidRPr="007B4EFC" w:rsidRDefault="00210DC6" w:rsidP="007B4EFC">
      <w:pPr>
        <w:jc w:val="both"/>
        <w:rPr>
          <w:rFonts w:ascii="Arial" w:hAnsi="Arial" w:cs="Arial"/>
          <w:sz w:val="24"/>
          <w:szCs w:val="24"/>
          <w:lang w:val="es-ES"/>
        </w:rPr>
      </w:pPr>
    </w:p>
    <w:p w:rsidR="007B4EFC" w:rsidRPr="007B4EFC" w:rsidRDefault="007B4EFC" w:rsidP="00912E5A">
      <w:pPr>
        <w:jc w:val="both"/>
        <w:rPr>
          <w:rFonts w:ascii="Arial" w:hAnsi="Arial" w:cs="Arial"/>
          <w:sz w:val="24"/>
          <w:szCs w:val="24"/>
          <w:lang w:val="es-ES"/>
        </w:rPr>
      </w:pPr>
    </w:p>
    <w:p w:rsidR="007B4EFC" w:rsidRDefault="007B4EFC" w:rsidP="00912E5A">
      <w:pPr>
        <w:jc w:val="both"/>
        <w:rPr>
          <w:rFonts w:ascii="Arial" w:hAnsi="Arial" w:cs="Arial"/>
          <w:sz w:val="24"/>
          <w:szCs w:val="24"/>
          <w:lang w:val="es-ES"/>
        </w:rPr>
      </w:pPr>
    </w:p>
    <w:p w:rsidR="00210DC6" w:rsidRDefault="00210DC6" w:rsidP="00912E5A">
      <w:pPr>
        <w:jc w:val="both"/>
        <w:rPr>
          <w:rFonts w:ascii="Arial" w:hAnsi="Arial" w:cs="Arial"/>
          <w:sz w:val="24"/>
          <w:szCs w:val="24"/>
          <w:lang w:val="es-ES"/>
        </w:rPr>
      </w:pPr>
    </w:p>
    <w:p w:rsidR="00210DC6" w:rsidRDefault="00210DC6" w:rsidP="00912E5A">
      <w:pPr>
        <w:jc w:val="both"/>
        <w:rPr>
          <w:rFonts w:ascii="Arial" w:hAnsi="Arial" w:cs="Arial"/>
          <w:sz w:val="24"/>
          <w:szCs w:val="24"/>
          <w:lang w:val="es-ES"/>
        </w:rPr>
      </w:pPr>
    </w:p>
    <w:p w:rsidR="00210DC6" w:rsidRPr="00912E5A" w:rsidRDefault="00210DC6" w:rsidP="00912E5A">
      <w:pPr>
        <w:jc w:val="both"/>
        <w:rPr>
          <w:rFonts w:ascii="Arial" w:hAnsi="Arial" w:cs="Arial"/>
          <w:sz w:val="24"/>
          <w:szCs w:val="24"/>
          <w:lang w:val="es-ES"/>
        </w:rPr>
      </w:pPr>
    </w:p>
    <w:p w:rsidR="007B66D2" w:rsidRPr="007B66D2" w:rsidRDefault="007B66D2" w:rsidP="00071204">
      <w:pPr>
        <w:spacing w:line="360" w:lineRule="auto"/>
        <w:jc w:val="both"/>
        <w:rPr>
          <w:rFonts w:ascii="Arial" w:eastAsia="Times New Roman" w:hAnsi="Arial" w:cs="Arial"/>
          <w:sz w:val="24"/>
          <w:szCs w:val="24"/>
          <w:lang w:val="es-ES"/>
        </w:rPr>
      </w:pPr>
    </w:p>
    <w:p w:rsidR="007B66D2" w:rsidRDefault="007B66D2" w:rsidP="00071204">
      <w:pPr>
        <w:spacing w:line="360" w:lineRule="auto"/>
        <w:jc w:val="both"/>
        <w:rPr>
          <w:rFonts w:ascii="Arial" w:hAnsi="Arial"/>
          <w:b/>
          <w:sz w:val="24"/>
          <w:lang w:val="es-ES"/>
        </w:rPr>
      </w:pPr>
      <w:r w:rsidRPr="007B66D2">
        <w:rPr>
          <w:rFonts w:ascii="Arial" w:hAnsi="Arial"/>
          <w:b/>
          <w:sz w:val="24"/>
          <w:lang w:val="es-ES"/>
        </w:rPr>
        <w:t>CONCLUSIONES</w:t>
      </w:r>
    </w:p>
    <w:p w:rsidR="00210DC6" w:rsidRPr="007B66D2" w:rsidRDefault="00210DC6" w:rsidP="00071204">
      <w:pPr>
        <w:spacing w:line="360" w:lineRule="auto"/>
        <w:jc w:val="both"/>
        <w:rPr>
          <w:rFonts w:ascii="Arial" w:hAnsi="Arial"/>
          <w:b/>
          <w:sz w:val="24"/>
          <w:lang w:val="es-ES"/>
        </w:rPr>
      </w:pPr>
      <w:r w:rsidRPr="00210DC6">
        <w:rPr>
          <w:rFonts w:ascii="Arial" w:hAnsi="Arial"/>
          <w:b/>
          <w:sz w:val="24"/>
          <w:highlight w:val="yellow"/>
          <w:lang w:val="es-ES"/>
        </w:rPr>
        <w:t>Cambiarlas totalmente</w:t>
      </w:r>
    </w:p>
    <w:p w:rsidR="00210DC6" w:rsidRDefault="00210DC6" w:rsidP="00210DC6">
      <w:pPr>
        <w:spacing w:line="360" w:lineRule="auto"/>
        <w:jc w:val="both"/>
        <w:rPr>
          <w:rFonts w:ascii="Arial" w:hAnsi="Arial"/>
          <w:sz w:val="24"/>
          <w:lang w:val="es-ES"/>
        </w:rPr>
      </w:pPr>
      <w:r w:rsidRPr="00210DC6">
        <w:rPr>
          <w:rFonts w:ascii="Arial" w:hAnsi="Arial"/>
          <w:sz w:val="24"/>
          <w:lang w:val="es-ES"/>
        </w:rPr>
        <w:t xml:space="preserve">- La frecuencia de hipotensión </w:t>
      </w:r>
      <w:proofErr w:type="spellStart"/>
      <w:r w:rsidRPr="00210DC6">
        <w:rPr>
          <w:rFonts w:ascii="Arial" w:hAnsi="Arial"/>
          <w:sz w:val="24"/>
          <w:lang w:val="es-ES"/>
        </w:rPr>
        <w:t>ortostática</w:t>
      </w:r>
      <w:proofErr w:type="spellEnd"/>
      <w:r w:rsidRPr="00210DC6">
        <w:rPr>
          <w:rFonts w:ascii="Arial" w:hAnsi="Arial"/>
          <w:sz w:val="24"/>
          <w:lang w:val="es-ES"/>
        </w:rPr>
        <w:t xml:space="preserve"> es elevada en la población en estudio, y se relaciona con el sexo femenino y con signos de alarma como el dolor abdominal y los vómitos. </w:t>
      </w:r>
    </w:p>
    <w:p w:rsidR="00210DC6" w:rsidRDefault="00210DC6" w:rsidP="00210DC6">
      <w:pPr>
        <w:spacing w:line="360" w:lineRule="auto"/>
        <w:jc w:val="both"/>
        <w:rPr>
          <w:rFonts w:ascii="Arial" w:hAnsi="Arial"/>
          <w:sz w:val="24"/>
          <w:lang w:val="es-ES"/>
        </w:rPr>
      </w:pPr>
      <w:r>
        <w:rPr>
          <w:rFonts w:ascii="Arial" w:hAnsi="Arial"/>
          <w:sz w:val="24"/>
          <w:lang w:val="es-ES"/>
        </w:rPr>
        <w:t xml:space="preserve">-La hipotensión </w:t>
      </w:r>
      <w:proofErr w:type="spellStart"/>
      <w:r>
        <w:rPr>
          <w:rFonts w:ascii="Arial" w:hAnsi="Arial"/>
          <w:sz w:val="24"/>
          <w:lang w:val="es-ES"/>
        </w:rPr>
        <w:t>ortostática</w:t>
      </w:r>
      <w:proofErr w:type="spellEnd"/>
      <w:r>
        <w:rPr>
          <w:rFonts w:ascii="Arial" w:hAnsi="Arial"/>
          <w:sz w:val="24"/>
          <w:lang w:val="es-ES"/>
        </w:rPr>
        <w:t xml:space="preserve"> se relaciona con el conteo bajo de plaquetas.</w:t>
      </w:r>
    </w:p>
    <w:p w:rsidR="007B66D2" w:rsidRDefault="00210DC6" w:rsidP="00071204">
      <w:pPr>
        <w:spacing w:line="360" w:lineRule="auto"/>
        <w:jc w:val="both"/>
        <w:rPr>
          <w:rFonts w:ascii="Arial" w:hAnsi="Arial"/>
          <w:sz w:val="24"/>
          <w:lang w:val="es-ES"/>
        </w:rPr>
      </w:pPr>
      <w:r w:rsidRPr="00210DC6">
        <w:rPr>
          <w:rFonts w:ascii="Arial" w:hAnsi="Arial"/>
          <w:sz w:val="24"/>
          <w:lang w:val="es-ES"/>
        </w:rPr>
        <w:t xml:space="preserve">- La hipotensión </w:t>
      </w:r>
      <w:proofErr w:type="spellStart"/>
      <w:r w:rsidRPr="00210DC6">
        <w:rPr>
          <w:rFonts w:ascii="Arial" w:hAnsi="Arial"/>
          <w:sz w:val="24"/>
          <w:lang w:val="es-ES"/>
        </w:rPr>
        <w:t>ortostática</w:t>
      </w:r>
      <w:proofErr w:type="spellEnd"/>
      <w:r w:rsidRPr="00210DC6">
        <w:rPr>
          <w:rFonts w:ascii="Arial" w:hAnsi="Arial"/>
          <w:sz w:val="24"/>
          <w:lang w:val="es-ES"/>
        </w:rPr>
        <w:t xml:space="preserve"> se relaciona con una mayor probabilidad de hallazgos positivos en el ultrasonido abdominal, así como de complicaciones como la hemorragia. </w:t>
      </w:r>
    </w:p>
    <w:p w:rsidR="00210DC6" w:rsidRPr="007B66D2" w:rsidRDefault="00210DC6" w:rsidP="00071204">
      <w:pPr>
        <w:spacing w:line="360" w:lineRule="auto"/>
        <w:jc w:val="both"/>
        <w:rPr>
          <w:rFonts w:ascii="Arial" w:hAnsi="Arial"/>
          <w:sz w:val="24"/>
          <w:lang w:val="es-ES"/>
        </w:rPr>
      </w:pPr>
    </w:p>
    <w:p w:rsidR="007B66D2" w:rsidRDefault="007B66D2" w:rsidP="00071204">
      <w:pPr>
        <w:jc w:val="both"/>
        <w:rPr>
          <w:rFonts w:ascii="Arial" w:hAnsi="Arial"/>
          <w:b/>
          <w:sz w:val="24"/>
          <w:lang w:val="es-ES"/>
        </w:rPr>
      </w:pPr>
      <w:r w:rsidRPr="007B66D2">
        <w:rPr>
          <w:rFonts w:ascii="Arial" w:hAnsi="Arial"/>
          <w:b/>
          <w:sz w:val="24"/>
          <w:lang w:val="es-ES"/>
        </w:rPr>
        <w:t>BIBLIOGRAFÍA</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rPr>
      </w:pPr>
      <w:r w:rsidRPr="001C1D6C">
        <w:rPr>
          <w:rFonts w:ascii="Arial" w:hAnsi="Arial" w:cs="Arial"/>
        </w:rPr>
        <w:lastRenderedPageBreak/>
        <w:t xml:space="preserve">Ernesto Vicente Peña, Ana Liz Rodriguez Porto, Fiebres Hemorrágicas virales Actualización, Diagnóstico y tratamiento, </w:t>
      </w:r>
      <w:proofErr w:type="spellStart"/>
      <w:r w:rsidRPr="001C1D6C">
        <w:rPr>
          <w:rFonts w:ascii="Arial" w:hAnsi="Arial" w:cs="Arial"/>
        </w:rPr>
        <w:t>Cap</w:t>
      </w:r>
      <w:proofErr w:type="spellEnd"/>
      <w:r w:rsidRPr="001C1D6C">
        <w:rPr>
          <w:rFonts w:ascii="Arial" w:hAnsi="Arial" w:cs="Arial"/>
        </w:rPr>
        <w:t xml:space="preserve"> 2, Pág. 155-170, Editorial Ciencias Médicas, La Habana 2010. </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rPr>
      </w:pPr>
      <w:r w:rsidRPr="001C1D6C">
        <w:rPr>
          <w:rFonts w:ascii="Arial" w:hAnsi="Arial" w:cs="Arial"/>
        </w:rPr>
        <w:t xml:space="preserve">Hoyos Rivera A, Pérez Rodríguez A. Actualización en aspectos epidemiológicos y clínicos del dengue. </w:t>
      </w:r>
      <w:proofErr w:type="spellStart"/>
      <w:r w:rsidRPr="001C1D6C">
        <w:rPr>
          <w:rFonts w:ascii="Arial" w:hAnsi="Arial" w:cs="Arial"/>
        </w:rPr>
        <w:t>Rev</w:t>
      </w:r>
      <w:proofErr w:type="spellEnd"/>
      <w:r w:rsidRPr="001C1D6C">
        <w:rPr>
          <w:rFonts w:ascii="Arial" w:hAnsi="Arial" w:cs="Arial"/>
        </w:rPr>
        <w:t xml:space="preserve"> Cubana Salud Pública. 2010; 36:149-64.</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rPr>
      </w:pPr>
      <w:r w:rsidRPr="001C1D6C">
        <w:rPr>
          <w:rFonts w:ascii="Arial" w:hAnsi="Arial" w:cs="Arial"/>
        </w:rPr>
        <w:t xml:space="preserve">Betancourt SMR, Pérez MDJD, Enamorado PBP. Variables epidemiológicas en pacientes con sospecha de dengue. Revista Electrónica Dr. Zoilo E. </w:t>
      </w:r>
      <w:proofErr w:type="spellStart"/>
      <w:r w:rsidRPr="001C1D6C">
        <w:rPr>
          <w:rFonts w:ascii="Arial" w:hAnsi="Arial" w:cs="Arial"/>
        </w:rPr>
        <w:t>Marinello</w:t>
      </w:r>
      <w:proofErr w:type="spellEnd"/>
      <w:r w:rsidRPr="001C1D6C">
        <w:rPr>
          <w:rFonts w:ascii="Arial" w:hAnsi="Arial" w:cs="Arial"/>
        </w:rPr>
        <w:t xml:space="preserve"> </w:t>
      </w:r>
      <w:proofErr w:type="spellStart"/>
      <w:r w:rsidRPr="001C1D6C">
        <w:rPr>
          <w:rFonts w:ascii="Arial" w:hAnsi="Arial" w:cs="Arial"/>
        </w:rPr>
        <w:t>Vidaurreta</w:t>
      </w:r>
      <w:proofErr w:type="spellEnd"/>
      <w:r w:rsidRPr="001C1D6C">
        <w:rPr>
          <w:rFonts w:ascii="Arial" w:hAnsi="Arial" w:cs="Arial"/>
        </w:rPr>
        <w:t>. 2016; 41(3).</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rPr>
      </w:pPr>
      <w:proofErr w:type="spellStart"/>
      <w:r w:rsidRPr="001C1D6C">
        <w:rPr>
          <w:rFonts w:ascii="Arial" w:hAnsi="Arial" w:cs="Arial"/>
          <w:lang w:val="en-US"/>
        </w:rPr>
        <w:t>Lage</w:t>
      </w:r>
      <w:proofErr w:type="spellEnd"/>
      <w:r w:rsidRPr="001C1D6C">
        <w:rPr>
          <w:rFonts w:ascii="Arial" w:hAnsi="Arial" w:cs="Arial"/>
          <w:lang w:val="en-US"/>
        </w:rPr>
        <w:t xml:space="preserve"> RJ, </w:t>
      </w:r>
      <w:proofErr w:type="spellStart"/>
      <w:r w:rsidRPr="001C1D6C">
        <w:rPr>
          <w:rFonts w:ascii="Arial" w:hAnsi="Arial" w:cs="Arial"/>
          <w:lang w:val="en-US"/>
        </w:rPr>
        <w:t>Graña</w:t>
      </w:r>
      <w:proofErr w:type="spellEnd"/>
      <w:r w:rsidRPr="001C1D6C">
        <w:rPr>
          <w:rFonts w:ascii="Arial" w:hAnsi="Arial" w:cs="Arial"/>
          <w:lang w:val="en-US"/>
        </w:rPr>
        <w:t xml:space="preserve"> TH, Johnson BS, Torres ZZ. </w:t>
      </w:r>
      <w:r w:rsidRPr="001C1D6C">
        <w:rPr>
          <w:rFonts w:ascii="Arial" w:hAnsi="Arial" w:cs="Arial"/>
        </w:rPr>
        <w:t>Aspectos actualizados sobre dengue. Revista de Información Científica. 2015; 90(2):374-90</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lang w:val="es-CO"/>
        </w:rPr>
      </w:pPr>
      <w:r w:rsidRPr="001C1D6C">
        <w:rPr>
          <w:rFonts w:ascii="Arial" w:hAnsi="Arial" w:cs="Arial"/>
          <w:lang w:val="pt-BR"/>
        </w:rPr>
        <w:t xml:space="preserve">Regueira Betancourt SM, </w:t>
      </w:r>
      <w:proofErr w:type="spellStart"/>
      <w:r w:rsidRPr="001C1D6C">
        <w:rPr>
          <w:rFonts w:ascii="Arial" w:hAnsi="Arial" w:cs="Arial"/>
          <w:lang w:val="pt-BR"/>
        </w:rPr>
        <w:t>Peña</w:t>
      </w:r>
      <w:proofErr w:type="spellEnd"/>
      <w:r w:rsidRPr="001C1D6C">
        <w:rPr>
          <w:rFonts w:ascii="Arial" w:hAnsi="Arial" w:cs="Arial"/>
          <w:lang w:val="pt-BR"/>
        </w:rPr>
        <w:t xml:space="preserve"> Enamorado PB, Díaz Pérez MJ. </w:t>
      </w:r>
      <w:r w:rsidRPr="001C1D6C">
        <w:rPr>
          <w:rFonts w:ascii="Arial" w:hAnsi="Arial" w:cs="Arial"/>
          <w:lang w:val="es-CO"/>
        </w:rPr>
        <w:t xml:space="preserve">Variables clínicas en pacientes con sospecha de dengue, ingresados en un hospital de campaña. Revista Electrónica Dr. Zoilo E. </w:t>
      </w:r>
      <w:proofErr w:type="spellStart"/>
      <w:r w:rsidRPr="001C1D6C">
        <w:rPr>
          <w:rFonts w:ascii="Arial" w:hAnsi="Arial" w:cs="Arial"/>
          <w:lang w:val="es-CO"/>
        </w:rPr>
        <w:t>Marinello</w:t>
      </w:r>
      <w:proofErr w:type="spellEnd"/>
      <w:r w:rsidRPr="001C1D6C">
        <w:rPr>
          <w:rFonts w:ascii="Arial" w:hAnsi="Arial" w:cs="Arial"/>
          <w:lang w:val="es-CO"/>
        </w:rPr>
        <w:t xml:space="preserve"> </w:t>
      </w:r>
      <w:proofErr w:type="spellStart"/>
      <w:r w:rsidRPr="001C1D6C">
        <w:rPr>
          <w:rFonts w:ascii="Arial" w:hAnsi="Arial" w:cs="Arial"/>
          <w:lang w:val="es-CO"/>
        </w:rPr>
        <w:t>Vidaurreta</w:t>
      </w:r>
      <w:proofErr w:type="spellEnd"/>
      <w:r w:rsidRPr="001C1D6C">
        <w:rPr>
          <w:rFonts w:ascii="Arial" w:hAnsi="Arial" w:cs="Arial"/>
          <w:lang w:val="es-CO"/>
        </w:rPr>
        <w:t>. 2014; 39(11)</w:t>
      </w:r>
      <w:r w:rsidR="003A1C66" w:rsidRPr="001C1D6C">
        <w:rPr>
          <w:rFonts w:ascii="Arial" w:hAnsi="Arial" w:cs="Arial"/>
          <w:lang w:val="es-CO"/>
        </w:rPr>
        <w:t>…</w:t>
      </w:r>
      <w:r w:rsidR="001D7B39" w:rsidRPr="001C1D6C">
        <w:rPr>
          <w:rFonts w:ascii="Arial" w:hAnsi="Arial" w:cs="Arial"/>
          <w:lang w:val="es-CO"/>
        </w:rPr>
        <w:t>5</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lang w:val="es-CO"/>
        </w:rPr>
      </w:pPr>
      <w:r w:rsidRPr="001C1D6C">
        <w:rPr>
          <w:rFonts w:ascii="Arial" w:hAnsi="Arial" w:cs="Arial"/>
          <w:lang w:val="es-CO"/>
        </w:rPr>
        <w:t xml:space="preserve"> Lugones </w:t>
      </w:r>
      <w:proofErr w:type="spellStart"/>
      <w:r w:rsidRPr="001C1D6C">
        <w:rPr>
          <w:rFonts w:ascii="Arial" w:hAnsi="Arial" w:cs="Arial"/>
          <w:lang w:val="es-CO"/>
        </w:rPr>
        <w:t>Botell</w:t>
      </w:r>
      <w:proofErr w:type="spellEnd"/>
      <w:r w:rsidRPr="001C1D6C">
        <w:rPr>
          <w:rFonts w:ascii="Arial" w:hAnsi="Arial" w:cs="Arial"/>
          <w:lang w:val="es-CO"/>
        </w:rPr>
        <w:t xml:space="preserve"> M, Ramírez Bermúdez M. Dengue. </w:t>
      </w:r>
      <w:proofErr w:type="spellStart"/>
      <w:r w:rsidRPr="001C1D6C">
        <w:rPr>
          <w:rFonts w:ascii="Arial" w:hAnsi="Arial" w:cs="Arial"/>
          <w:lang w:val="es-CO"/>
        </w:rPr>
        <w:t>Rev</w:t>
      </w:r>
      <w:proofErr w:type="spellEnd"/>
      <w:r w:rsidRPr="001C1D6C">
        <w:rPr>
          <w:rFonts w:ascii="Arial" w:hAnsi="Arial" w:cs="Arial"/>
          <w:lang w:val="es-CO"/>
        </w:rPr>
        <w:t xml:space="preserve"> Cubana </w:t>
      </w:r>
      <w:proofErr w:type="spellStart"/>
      <w:r w:rsidRPr="001C1D6C">
        <w:rPr>
          <w:rFonts w:ascii="Arial" w:hAnsi="Arial" w:cs="Arial"/>
          <w:lang w:val="es-CO"/>
        </w:rPr>
        <w:t>Med</w:t>
      </w:r>
      <w:proofErr w:type="spellEnd"/>
      <w:r w:rsidRPr="001C1D6C">
        <w:rPr>
          <w:rFonts w:ascii="Arial" w:hAnsi="Arial" w:cs="Arial"/>
          <w:lang w:val="es-CO"/>
        </w:rPr>
        <w:t xml:space="preserve"> Gen </w:t>
      </w:r>
      <w:proofErr w:type="spellStart"/>
      <w:r w:rsidRPr="001C1D6C">
        <w:rPr>
          <w:rFonts w:ascii="Arial" w:hAnsi="Arial" w:cs="Arial"/>
          <w:lang w:val="es-CO"/>
        </w:rPr>
        <w:t>Integr</w:t>
      </w:r>
      <w:proofErr w:type="spellEnd"/>
      <w:r w:rsidRPr="001C1D6C">
        <w:rPr>
          <w:rFonts w:ascii="Arial" w:hAnsi="Arial" w:cs="Arial"/>
          <w:lang w:val="es-CO"/>
        </w:rPr>
        <w:t>. 2012; 28(1): 123-6</w:t>
      </w:r>
    </w:p>
    <w:p w:rsidR="00210DC6" w:rsidRPr="001C1D6C" w:rsidRDefault="00210DC6" w:rsidP="00210DC6">
      <w:pPr>
        <w:pStyle w:val="NormalWeb"/>
        <w:numPr>
          <w:ilvl w:val="0"/>
          <w:numId w:val="42"/>
        </w:numPr>
        <w:spacing w:before="0" w:beforeAutospacing="0" w:after="0" w:afterAutospacing="0" w:line="480" w:lineRule="auto"/>
        <w:jc w:val="both"/>
        <w:rPr>
          <w:rFonts w:ascii="Arial" w:hAnsi="Arial" w:cs="Arial"/>
          <w:lang w:val="en-US"/>
        </w:rPr>
      </w:pPr>
      <w:proofErr w:type="spellStart"/>
      <w:r w:rsidRPr="001C1D6C">
        <w:rPr>
          <w:rFonts w:ascii="TimesNewRomanPSMT" w:hAnsi="TimesNewRomanPSMT" w:cs="TimesNewRomanPSMT"/>
          <w:lang w:val="en-US"/>
        </w:rPr>
        <w:t>Shibao</w:t>
      </w:r>
      <w:proofErr w:type="spellEnd"/>
      <w:r w:rsidRPr="001C1D6C">
        <w:rPr>
          <w:rFonts w:ascii="TimesNewRomanPSMT" w:hAnsi="TimesNewRomanPSMT" w:cs="TimesNewRomanPSMT"/>
          <w:lang w:val="en-US"/>
        </w:rPr>
        <w:t xml:space="preserve"> C, </w:t>
      </w:r>
      <w:proofErr w:type="spellStart"/>
      <w:r w:rsidRPr="001C1D6C">
        <w:rPr>
          <w:rFonts w:ascii="TimesNewRomanPSMT" w:hAnsi="TimesNewRomanPSMT" w:cs="TimesNewRomanPSMT"/>
          <w:lang w:val="en-US"/>
        </w:rPr>
        <w:t>Lipsitz</w:t>
      </w:r>
      <w:proofErr w:type="spellEnd"/>
      <w:r w:rsidRPr="001C1D6C">
        <w:rPr>
          <w:rFonts w:ascii="TimesNewRomanPSMT" w:hAnsi="TimesNewRomanPSMT" w:cs="TimesNewRomanPSMT"/>
          <w:lang w:val="en-US"/>
        </w:rPr>
        <w:t xml:space="preserve"> LA, </w:t>
      </w:r>
      <w:proofErr w:type="spellStart"/>
      <w:r w:rsidRPr="001C1D6C">
        <w:rPr>
          <w:rFonts w:ascii="TimesNewRomanPSMT" w:hAnsi="TimesNewRomanPSMT" w:cs="TimesNewRomanPSMT"/>
          <w:lang w:val="en-US"/>
        </w:rPr>
        <w:t>Biaggioni</w:t>
      </w:r>
      <w:proofErr w:type="spellEnd"/>
      <w:r w:rsidRPr="001C1D6C">
        <w:rPr>
          <w:rFonts w:ascii="TimesNewRomanPSMT" w:hAnsi="TimesNewRomanPSMT" w:cs="TimesNewRomanPSMT"/>
          <w:lang w:val="en-US"/>
        </w:rPr>
        <w:t xml:space="preserve"> I. ASH position paper: evaluation and treatment of</w:t>
      </w:r>
      <w:r w:rsidRPr="001C1D6C">
        <w:rPr>
          <w:rFonts w:ascii="Arial" w:hAnsi="Arial" w:cs="Arial"/>
          <w:lang w:val="en-US"/>
        </w:rPr>
        <w:t xml:space="preserve"> </w:t>
      </w:r>
      <w:r w:rsidRPr="001C1D6C">
        <w:rPr>
          <w:rFonts w:ascii="TimesNewRomanPSMT" w:hAnsi="TimesNewRomanPSMT" w:cs="TimesNewRomanPSMT"/>
          <w:lang w:val="en-US"/>
        </w:rPr>
        <w:t xml:space="preserve">orthostatic hypotension. J </w:t>
      </w:r>
      <w:proofErr w:type="spellStart"/>
      <w:r w:rsidRPr="001C1D6C">
        <w:rPr>
          <w:rFonts w:ascii="TimesNewRomanPSMT" w:hAnsi="TimesNewRomanPSMT" w:cs="TimesNewRomanPSMT"/>
          <w:lang w:val="en-US"/>
        </w:rPr>
        <w:t>Clin</w:t>
      </w:r>
      <w:proofErr w:type="spellEnd"/>
      <w:r w:rsidRPr="001C1D6C">
        <w:rPr>
          <w:rFonts w:ascii="TimesNewRomanPSMT" w:hAnsi="TimesNewRomanPSMT" w:cs="TimesNewRomanPSMT"/>
          <w:lang w:val="en-US"/>
        </w:rPr>
        <w:t xml:space="preserve"> </w:t>
      </w:r>
      <w:proofErr w:type="spellStart"/>
      <w:r w:rsidRPr="001C1D6C">
        <w:rPr>
          <w:rFonts w:ascii="TimesNewRomanPSMT" w:hAnsi="TimesNewRomanPSMT" w:cs="TimesNewRomanPSMT"/>
          <w:lang w:val="en-US"/>
        </w:rPr>
        <w:t>Hypertens</w:t>
      </w:r>
      <w:proofErr w:type="spellEnd"/>
      <w:r w:rsidRPr="001C1D6C">
        <w:rPr>
          <w:rFonts w:ascii="TimesNewRomanPSMT" w:hAnsi="TimesNewRomanPSMT" w:cs="TimesNewRomanPSMT"/>
          <w:lang w:val="en-US"/>
        </w:rPr>
        <w:t xml:space="preserve"> (Greenwich). 2013; 15:147-53</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TimesNewRomanPSMT" w:hAnsi="TimesNewRomanPSMT" w:cs="TimesNewRomanPSMT"/>
          <w:sz w:val="24"/>
          <w:szCs w:val="24"/>
          <w:lang w:val="es-CO" w:eastAsia="es-ES"/>
        </w:rPr>
        <w:t>Barochiner</w:t>
      </w:r>
      <w:proofErr w:type="spellEnd"/>
      <w:r w:rsidRPr="001C1D6C">
        <w:rPr>
          <w:rFonts w:ascii="TimesNewRomanPSMT" w:hAnsi="TimesNewRomanPSMT" w:cs="TimesNewRomanPSMT"/>
          <w:sz w:val="24"/>
          <w:szCs w:val="24"/>
          <w:lang w:val="es-CO" w:eastAsia="es-ES"/>
        </w:rPr>
        <w:t xml:space="preserve"> J, </w:t>
      </w:r>
      <w:proofErr w:type="spellStart"/>
      <w:r w:rsidRPr="001C1D6C">
        <w:rPr>
          <w:rFonts w:ascii="TimesNewRomanPSMT" w:hAnsi="TimesNewRomanPSMT" w:cs="TimesNewRomanPSMT"/>
          <w:sz w:val="24"/>
          <w:szCs w:val="24"/>
          <w:lang w:val="es-CO" w:eastAsia="es-ES"/>
        </w:rPr>
        <w:t>Cuffaro</w:t>
      </w:r>
      <w:proofErr w:type="spellEnd"/>
      <w:r w:rsidRPr="001C1D6C">
        <w:rPr>
          <w:rFonts w:ascii="TimesNewRomanPSMT" w:hAnsi="TimesNewRomanPSMT" w:cs="TimesNewRomanPSMT"/>
          <w:sz w:val="24"/>
          <w:szCs w:val="24"/>
          <w:lang w:val="es-CO" w:eastAsia="es-ES"/>
        </w:rPr>
        <w:t xml:space="preserve"> PE, Aparicio LS, </w:t>
      </w:r>
      <w:proofErr w:type="spellStart"/>
      <w:r w:rsidRPr="001C1D6C">
        <w:rPr>
          <w:rFonts w:ascii="TimesNewRomanPSMT" w:hAnsi="TimesNewRomanPSMT" w:cs="TimesNewRomanPSMT"/>
          <w:sz w:val="24"/>
          <w:szCs w:val="24"/>
          <w:lang w:val="es-CO" w:eastAsia="es-ES"/>
        </w:rPr>
        <w:t>Alfie</w:t>
      </w:r>
      <w:proofErr w:type="spellEnd"/>
      <w:r w:rsidRPr="001C1D6C">
        <w:rPr>
          <w:rFonts w:ascii="TimesNewRomanPSMT" w:hAnsi="TimesNewRomanPSMT" w:cs="TimesNewRomanPSMT"/>
          <w:sz w:val="24"/>
          <w:szCs w:val="24"/>
          <w:lang w:val="es-CO" w:eastAsia="es-ES"/>
        </w:rPr>
        <w:t xml:space="preserve"> J, Rada MA, Morales MS, et al.</w:t>
      </w:r>
      <w:r w:rsidRPr="001C1D6C">
        <w:rPr>
          <w:rFonts w:ascii="Arial" w:hAnsi="Arial" w:cs="Arial"/>
          <w:sz w:val="24"/>
          <w:szCs w:val="24"/>
          <w:lang w:val="es-CO"/>
        </w:rPr>
        <w:t xml:space="preserve"> </w:t>
      </w:r>
      <w:r w:rsidRPr="001C1D6C">
        <w:rPr>
          <w:rFonts w:ascii="TimesNewRomanPSMT" w:hAnsi="TimesNewRomanPSMT" w:cs="TimesNewRomanPSMT"/>
          <w:sz w:val="24"/>
          <w:szCs w:val="24"/>
          <w:lang w:val="en-US" w:eastAsia="es-ES"/>
        </w:rPr>
        <w:t>Predictors of masked hypertension among treated hypertensive patients: an</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 xml:space="preserve">interesting association with orthostatic hypertension. </w:t>
      </w:r>
      <w:r w:rsidRPr="001C1D6C">
        <w:rPr>
          <w:rFonts w:ascii="TimesNewRomanPSMT" w:hAnsi="TimesNewRomanPSMT" w:cs="TimesNewRomanPSMT"/>
          <w:sz w:val="24"/>
          <w:szCs w:val="24"/>
          <w:lang w:eastAsia="es-ES"/>
        </w:rPr>
        <w:t xml:space="preserve">Am J </w:t>
      </w:r>
      <w:proofErr w:type="spellStart"/>
      <w:r w:rsidRPr="001C1D6C">
        <w:rPr>
          <w:rFonts w:ascii="TimesNewRomanPSMT" w:hAnsi="TimesNewRomanPSMT" w:cs="TimesNewRomanPSMT"/>
          <w:sz w:val="24"/>
          <w:szCs w:val="24"/>
          <w:lang w:eastAsia="es-ES"/>
        </w:rPr>
        <w:t>Hypertens</w:t>
      </w:r>
      <w:proofErr w:type="spellEnd"/>
      <w:r w:rsidRPr="001C1D6C">
        <w:rPr>
          <w:rFonts w:ascii="TimesNewRomanPSMT" w:hAnsi="TimesNewRomanPSMT" w:cs="TimesNewRomanPSMT"/>
          <w:sz w:val="24"/>
          <w:szCs w:val="24"/>
          <w:lang w:eastAsia="es-ES"/>
        </w:rPr>
        <w:t>. 2013; 26:872-8</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TimesNewRomanPSMT" w:hAnsi="TimesNewRomanPSMT" w:cs="TimesNewRomanPSMT"/>
          <w:sz w:val="24"/>
          <w:szCs w:val="24"/>
          <w:lang w:val="en-US" w:eastAsia="es-ES"/>
        </w:rPr>
        <w:t>Eguchi</w:t>
      </w:r>
      <w:proofErr w:type="spellEnd"/>
      <w:r w:rsidRPr="001C1D6C">
        <w:rPr>
          <w:rFonts w:ascii="TimesNewRomanPSMT" w:hAnsi="TimesNewRomanPSMT" w:cs="TimesNewRomanPSMT"/>
          <w:sz w:val="24"/>
          <w:szCs w:val="24"/>
          <w:lang w:val="en-US" w:eastAsia="es-ES"/>
        </w:rPr>
        <w:t xml:space="preserve"> K, </w:t>
      </w:r>
      <w:proofErr w:type="spellStart"/>
      <w:r w:rsidRPr="001C1D6C">
        <w:rPr>
          <w:rFonts w:ascii="TimesNewRomanPSMT" w:hAnsi="TimesNewRomanPSMT" w:cs="TimesNewRomanPSMT"/>
          <w:sz w:val="24"/>
          <w:szCs w:val="24"/>
          <w:lang w:val="en-US" w:eastAsia="es-ES"/>
        </w:rPr>
        <w:t>Kario</w:t>
      </w:r>
      <w:proofErr w:type="spellEnd"/>
      <w:r w:rsidRPr="001C1D6C">
        <w:rPr>
          <w:rFonts w:ascii="TimesNewRomanPSMT" w:hAnsi="TimesNewRomanPSMT" w:cs="TimesNewRomanPSMT"/>
          <w:sz w:val="24"/>
          <w:szCs w:val="24"/>
          <w:lang w:val="en-US" w:eastAsia="es-ES"/>
        </w:rPr>
        <w:t xml:space="preserve"> K, </w:t>
      </w:r>
      <w:proofErr w:type="spellStart"/>
      <w:r w:rsidRPr="001C1D6C">
        <w:rPr>
          <w:rFonts w:ascii="TimesNewRomanPSMT" w:hAnsi="TimesNewRomanPSMT" w:cs="TimesNewRomanPSMT"/>
          <w:sz w:val="24"/>
          <w:szCs w:val="24"/>
          <w:lang w:val="en-US" w:eastAsia="es-ES"/>
        </w:rPr>
        <w:t>Hoshide</w:t>
      </w:r>
      <w:proofErr w:type="spellEnd"/>
      <w:r w:rsidRPr="001C1D6C">
        <w:rPr>
          <w:rFonts w:ascii="TimesNewRomanPSMT" w:hAnsi="TimesNewRomanPSMT" w:cs="TimesNewRomanPSMT"/>
          <w:sz w:val="24"/>
          <w:szCs w:val="24"/>
          <w:lang w:val="en-US" w:eastAsia="es-ES"/>
        </w:rPr>
        <w:t xml:space="preserve"> S, </w:t>
      </w:r>
      <w:proofErr w:type="spellStart"/>
      <w:r w:rsidRPr="001C1D6C">
        <w:rPr>
          <w:rFonts w:ascii="TimesNewRomanPSMT" w:hAnsi="TimesNewRomanPSMT" w:cs="TimesNewRomanPSMT"/>
          <w:sz w:val="24"/>
          <w:szCs w:val="24"/>
          <w:lang w:val="en-US" w:eastAsia="es-ES"/>
        </w:rPr>
        <w:t>Hoshide</w:t>
      </w:r>
      <w:proofErr w:type="spellEnd"/>
      <w:r w:rsidRPr="001C1D6C">
        <w:rPr>
          <w:rFonts w:ascii="TimesNewRomanPSMT" w:hAnsi="TimesNewRomanPSMT" w:cs="TimesNewRomanPSMT"/>
          <w:sz w:val="24"/>
          <w:szCs w:val="24"/>
          <w:lang w:val="en-US" w:eastAsia="es-ES"/>
        </w:rPr>
        <w:t xml:space="preserve"> Y, Ishikawa J, </w:t>
      </w:r>
      <w:proofErr w:type="spellStart"/>
      <w:r w:rsidRPr="001C1D6C">
        <w:rPr>
          <w:rFonts w:ascii="TimesNewRomanPSMT" w:hAnsi="TimesNewRomanPSMT" w:cs="TimesNewRomanPSMT"/>
          <w:sz w:val="24"/>
          <w:szCs w:val="24"/>
          <w:lang w:val="en-US" w:eastAsia="es-ES"/>
        </w:rPr>
        <w:t>Morinari</w:t>
      </w:r>
      <w:proofErr w:type="spellEnd"/>
      <w:r w:rsidRPr="001C1D6C">
        <w:rPr>
          <w:rFonts w:ascii="TimesNewRomanPSMT" w:hAnsi="TimesNewRomanPSMT" w:cs="TimesNewRomanPSMT"/>
          <w:sz w:val="24"/>
          <w:szCs w:val="24"/>
          <w:lang w:val="en-US" w:eastAsia="es-ES"/>
        </w:rPr>
        <w:t xml:space="preserve"> M, et al. Greater</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change of orthostatic blood pressure is related to silent cerebral infarct and cardiac</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 xml:space="preserve">overload in hypertensive subjects. </w:t>
      </w:r>
      <w:proofErr w:type="spellStart"/>
      <w:r w:rsidRPr="001C1D6C">
        <w:rPr>
          <w:rFonts w:ascii="TimesNewRomanPSMT" w:hAnsi="TimesNewRomanPSMT" w:cs="TimesNewRomanPSMT"/>
          <w:sz w:val="24"/>
          <w:szCs w:val="24"/>
          <w:lang w:val="en-US" w:eastAsia="es-ES"/>
        </w:rPr>
        <w:t>Hypertens</w:t>
      </w:r>
      <w:proofErr w:type="spellEnd"/>
      <w:r w:rsidRPr="001C1D6C">
        <w:rPr>
          <w:rFonts w:ascii="TimesNewRomanPSMT" w:hAnsi="TimesNewRomanPSMT" w:cs="TimesNewRomanPSMT"/>
          <w:sz w:val="24"/>
          <w:szCs w:val="24"/>
          <w:lang w:val="en-US" w:eastAsia="es-ES"/>
        </w:rPr>
        <w:t xml:space="preserve"> Res. 2004; 27:235-41</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TimesNewRomanPSMT" w:hAnsi="TimesNewRomanPSMT" w:cs="TimesNewRomanPSMT"/>
          <w:sz w:val="24"/>
          <w:szCs w:val="24"/>
          <w:lang w:val="en-US" w:eastAsia="es-ES"/>
        </w:rPr>
        <w:lastRenderedPageBreak/>
        <w:t>Yatsuya</w:t>
      </w:r>
      <w:proofErr w:type="spellEnd"/>
      <w:r w:rsidRPr="001C1D6C">
        <w:rPr>
          <w:rFonts w:ascii="TimesNewRomanPSMT" w:hAnsi="TimesNewRomanPSMT" w:cs="TimesNewRomanPSMT"/>
          <w:sz w:val="24"/>
          <w:szCs w:val="24"/>
          <w:lang w:val="en-US" w:eastAsia="es-ES"/>
        </w:rPr>
        <w:t xml:space="preserve"> H, Folsom AR, Alonso A, Gottesman RF, Rose KM. Postural changes in</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blood pressure and incidence of ischemic stroke subtypes: the ARIC study.</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Hypertension. 2011; 57:167-73</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TimesNewRomanPSMT" w:hAnsi="TimesNewRomanPSMT" w:cs="TimesNewRomanPSMT"/>
          <w:sz w:val="24"/>
          <w:szCs w:val="24"/>
          <w:lang w:eastAsia="es-ES"/>
        </w:rPr>
        <w:t>Veronese</w:t>
      </w:r>
      <w:proofErr w:type="spellEnd"/>
      <w:r w:rsidRPr="001C1D6C">
        <w:rPr>
          <w:rFonts w:ascii="TimesNewRomanPSMT" w:hAnsi="TimesNewRomanPSMT" w:cs="TimesNewRomanPSMT"/>
          <w:sz w:val="24"/>
          <w:szCs w:val="24"/>
          <w:lang w:eastAsia="es-ES"/>
        </w:rPr>
        <w:t xml:space="preserve"> N, De </w:t>
      </w:r>
      <w:proofErr w:type="spellStart"/>
      <w:r w:rsidRPr="001C1D6C">
        <w:rPr>
          <w:rFonts w:ascii="TimesNewRomanPSMT" w:hAnsi="TimesNewRomanPSMT" w:cs="TimesNewRomanPSMT"/>
          <w:sz w:val="24"/>
          <w:szCs w:val="24"/>
          <w:lang w:eastAsia="es-ES"/>
        </w:rPr>
        <w:t>Rui</w:t>
      </w:r>
      <w:proofErr w:type="spellEnd"/>
      <w:r w:rsidRPr="001C1D6C">
        <w:rPr>
          <w:rFonts w:ascii="TimesNewRomanPSMT" w:hAnsi="TimesNewRomanPSMT" w:cs="TimesNewRomanPSMT"/>
          <w:sz w:val="24"/>
          <w:szCs w:val="24"/>
          <w:lang w:eastAsia="es-ES"/>
        </w:rPr>
        <w:t xml:space="preserve"> M, </w:t>
      </w:r>
      <w:proofErr w:type="spellStart"/>
      <w:r w:rsidRPr="001C1D6C">
        <w:rPr>
          <w:rFonts w:ascii="TimesNewRomanPSMT" w:hAnsi="TimesNewRomanPSMT" w:cs="TimesNewRomanPSMT"/>
          <w:sz w:val="24"/>
          <w:szCs w:val="24"/>
          <w:lang w:eastAsia="es-ES"/>
        </w:rPr>
        <w:t>Bolzetta</w:t>
      </w:r>
      <w:proofErr w:type="spellEnd"/>
      <w:r w:rsidRPr="001C1D6C">
        <w:rPr>
          <w:rFonts w:ascii="TimesNewRomanPSMT" w:hAnsi="TimesNewRomanPSMT" w:cs="TimesNewRomanPSMT"/>
          <w:sz w:val="24"/>
          <w:szCs w:val="24"/>
          <w:lang w:eastAsia="es-ES"/>
        </w:rPr>
        <w:t xml:space="preserve"> F, </w:t>
      </w:r>
      <w:proofErr w:type="spellStart"/>
      <w:r w:rsidRPr="001C1D6C">
        <w:rPr>
          <w:rFonts w:ascii="TimesNewRomanPSMT" w:hAnsi="TimesNewRomanPSMT" w:cs="TimesNewRomanPSMT"/>
          <w:sz w:val="24"/>
          <w:szCs w:val="24"/>
          <w:lang w:eastAsia="es-ES"/>
        </w:rPr>
        <w:t>Zambon</w:t>
      </w:r>
      <w:proofErr w:type="spellEnd"/>
      <w:r w:rsidRPr="001C1D6C">
        <w:rPr>
          <w:rFonts w:ascii="TimesNewRomanPSMT" w:hAnsi="TimesNewRomanPSMT" w:cs="TimesNewRomanPSMT"/>
          <w:sz w:val="24"/>
          <w:szCs w:val="24"/>
          <w:lang w:eastAsia="es-ES"/>
        </w:rPr>
        <w:t xml:space="preserve"> S, Corti MC, Baggio G, et al.</w:t>
      </w:r>
      <w:r w:rsidRPr="001C1D6C">
        <w:rPr>
          <w:rFonts w:ascii="Arial" w:hAnsi="Arial" w:cs="Arial"/>
          <w:sz w:val="24"/>
          <w:szCs w:val="24"/>
        </w:rPr>
        <w:t xml:space="preserve"> </w:t>
      </w:r>
      <w:r w:rsidRPr="001C1D6C">
        <w:rPr>
          <w:rFonts w:ascii="TimesNewRomanPSMT" w:hAnsi="TimesNewRomanPSMT" w:cs="TimesNewRomanPSMT"/>
          <w:sz w:val="24"/>
          <w:szCs w:val="24"/>
          <w:lang w:val="en-US" w:eastAsia="es-ES"/>
        </w:rPr>
        <w:t xml:space="preserve">Orthostatic Changes in Blood Pressure and Mortality in the Elderly: The </w:t>
      </w:r>
      <w:proofErr w:type="spellStart"/>
      <w:r w:rsidRPr="001C1D6C">
        <w:rPr>
          <w:rFonts w:ascii="TimesNewRomanPSMT" w:hAnsi="TimesNewRomanPSMT" w:cs="TimesNewRomanPSMT"/>
          <w:sz w:val="24"/>
          <w:szCs w:val="24"/>
          <w:lang w:val="en-US" w:eastAsia="es-ES"/>
        </w:rPr>
        <w:t>Pro.V.A</w:t>
      </w:r>
      <w:proofErr w:type="spellEnd"/>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 xml:space="preserve">Study. </w:t>
      </w:r>
      <w:r w:rsidRPr="001C1D6C">
        <w:rPr>
          <w:rFonts w:ascii="TimesNewRomanPSMT" w:hAnsi="TimesNewRomanPSMT" w:cs="TimesNewRomanPSMT"/>
          <w:sz w:val="24"/>
          <w:szCs w:val="24"/>
          <w:lang w:eastAsia="es-ES"/>
        </w:rPr>
        <w:t xml:space="preserve">Am J </w:t>
      </w:r>
      <w:proofErr w:type="spellStart"/>
      <w:r w:rsidRPr="001C1D6C">
        <w:rPr>
          <w:rFonts w:ascii="TimesNewRomanPSMT" w:hAnsi="TimesNewRomanPSMT" w:cs="TimesNewRomanPSMT"/>
          <w:sz w:val="24"/>
          <w:szCs w:val="24"/>
          <w:lang w:eastAsia="es-ES"/>
        </w:rPr>
        <w:t>Hypertens</w:t>
      </w:r>
      <w:proofErr w:type="spellEnd"/>
      <w:r w:rsidRPr="001C1D6C">
        <w:rPr>
          <w:rFonts w:ascii="TimesNewRomanPSMT" w:hAnsi="TimesNewRomanPSMT" w:cs="TimesNewRomanPSMT"/>
          <w:sz w:val="24"/>
          <w:szCs w:val="24"/>
          <w:lang w:eastAsia="es-ES"/>
        </w:rPr>
        <w:t>. 2015; 28:1248-56.</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TimesNewRomanPSMT" w:hAnsi="TimesNewRomanPSMT" w:cs="TimesNewRomanPSMT"/>
          <w:sz w:val="24"/>
          <w:szCs w:val="24"/>
          <w:lang w:val="en-US" w:eastAsia="es-ES"/>
        </w:rPr>
        <w:t>Hartog</w:t>
      </w:r>
      <w:proofErr w:type="spellEnd"/>
      <w:r w:rsidRPr="001C1D6C">
        <w:rPr>
          <w:rFonts w:ascii="TimesNewRomanPSMT" w:hAnsi="TimesNewRomanPSMT" w:cs="TimesNewRomanPSMT"/>
          <w:sz w:val="24"/>
          <w:szCs w:val="24"/>
          <w:lang w:val="en-US" w:eastAsia="es-ES"/>
        </w:rPr>
        <w:t xml:space="preserve"> LC, </w:t>
      </w:r>
      <w:proofErr w:type="spellStart"/>
      <w:r w:rsidRPr="001C1D6C">
        <w:rPr>
          <w:rFonts w:ascii="TimesNewRomanPSMT" w:hAnsi="TimesNewRomanPSMT" w:cs="TimesNewRomanPSMT"/>
          <w:sz w:val="24"/>
          <w:szCs w:val="24"/>
          <w:lang w:val="en-US" w:eastAsia="es-ES"/>
        </w:rPr>
        <w:t>Cizmar-Sweelssen</w:t>
      </w:r>
      <w:proofErr w:type="spellEnd"/>
      <w:r w:rsidRPr="001C1D6C">
        <w:rPr>
          <w:rFonts w:ascii="TimesNewRomanPSMT" w:hAnsi="TimesNewRomanPSMT" w:cs="TimesNewRomanPSMT"/>
          <w:sz w:val="24"/>
          <w:szCs w:val="24"/>
          <w:lang w:val="en-US" w:eastAsia="es-ES"/>
        </w:rPr>
        <w:t xml:space="preserve"> M, </w:t>
      </w:r>
      <w:proofErr w:type="spellStart"/>
      <w:r w:rsidRPr="001C1D6C">
        <w:rPr>
          <w:rFonts w:ascii="TimesNewRomanPSMT" w:hAnsi="TimesNewRomanPSMT" w:cs="TimesNewRomanPSMT"/>
          <w:sz w:val="24"/>
          <w:szCs w:val="24"/>
          <w:lang w:val="en-US" w:eastAsia="es-ES"/>
        </w:rPr>
        <w:t>Knipscheer</w:t>
      </w:r>
      <w:proofErr w:type="spellEnd"/>
      <w:r w:rsidRPr="001C1D6C">
        <w:rPr>
          <w:rFonts w:ascii="TimesNewRomanPSMT" w:hAnsi="TimesNewRomanPSMT" w:cs="TimesNewRomanPSMT"/>
          <w:sz w:val="24"/>
          <w:szCs w:val="24"/>
          <w:lang w:val="en-US" w:eastAsia="es-ES"/>
        </w:rPr>
        <w:t xml:space="preserve"> A, </w:t>
      </w:r>
      <w:proofErr w:type="spellStart"/>
      <w:r w:rsidRPr="001C1D6C">
        <w:rPr>
          <w:rFonts w:ascii="TimesNewRomanPSMT" w:hAnsi="TimesNewRomanPSMT" w:cs="TimesNewRomanPSMT"/>
          <w:sz w:val="24"/>
          <w:szCs w:val="24"/>
          <w:lang w:val="en-US" w:eastAsia="es-ES"/>
        </w:rPr>
        <w:t>Groenier</w:t>
      </w:r>
      <w:proofErr w:type="spellEnd"/>
      <w:r w:rsidRPr="001C1D6C">
        <w:rPr>
          <w:rFonts w:ascii="TimesNewRomanPSMT" w:hAnsi="TimesNewRomanPSMT" w:cs="TimesNewRomanPSMT"/>
          <w:sz w:val="24"/>
          <w:szCs w:val="24"/>
          <w:lang w:val="en-US" w:eastAsia="es-ES"/>
        </w:rPr>
        <w:t xml:space="preserve"> KH, </w:t>
      </w:r>
      <w:proofErr w:type="spellStart"/>
      <w:r w:rsidRPr="001C1D6C">
        <w:rPr>
          <w:rFonts w:ascii="TimesNewRomanPSMT" w:hAnsi="TimesNewRomanPSMT" w:cs="TimesNewRomanPSMT"/>
          <w:sz w:val="24"/>
          <w:szCs w:val="24"/>
          <w:lang w:val="en-US" w:eastAsia="es-ES"/>
        </w:rPr>
        <w:t>Kleefstra</w:t>
      </w:r>
      <w:proofErr w:type="spellEnd"/>
      <w:r w:rsidRPr="001C1D6C">
        <w:rPr>
          <w:rFonts w:ascii="TimesNewRomanPSMT" w:hAnsi="TimesNewRomanPSMT" w:cs="TimesNewRomanPSMT"/>
          <w:sz w:val="24"/>
          <w:szCs w:val="24"/>
          <w:lang w:val="en-US" w:eastAsia="es-ES"/>
        </w:rPr>
        <w:t xml:space="preserve"> N, </w:t>
      </w:r>
      <w:proofErr w:type="spellStart"/>
      <w:r w:rsidRPr="001C1D6C">
        <w:rPr>
          <w:rFonts w:ascii="TimesNewRomanPSMT" w:hAnsi="TimesNewRomanPSMT" w:cs="TimesNewRomanPSMT"/>
          <w:sz w:val="24"/>
          <w:szCs w:val="24"/>
          <w:lang w:val="en-US" w:eastAsia="es-ES"/>
        </w:rPr>
        <w:t>Bilo</w:t>
      </w:r>
      <w:proofErr w:type="spellEnd"/>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HJ, et al. The association between orthostatic hypotension, falling and successful</w:t>
      </w:r>
      <w:r w:rsidRPr="001C1D6C">
        <w:rPr>
          <w:rFonts w:ascii="Arial" w:hAnsi="Arial" w:cs="Arial"/>
          <w:sz w:val="24"/>
          <w:szCs w:val="24"/>
          <w:lang w:val="en-US"/>
        </w:rPr>
        <w:t xml:space="preserve"> </w:t>
      </w:r>
      <w:r w:rsidRPr="001C1D6C">
        <w:rPr>
          <w:rFonts w:ascii="TimesNewRomanPSMT" w:hAnsi="TimesNewRomanPSMT" w:cs="TimesNewRomanPSMT"/>
          <w:sz w:val="24"/>
          <w:szCs w:val="24"/>
          <w:lang w:val="en-US" w:eastAsia="es-ES"/>
        </w:rPr>
        <w:t xml:space="preserve">rehabilitation in a nursing home population. </w:t>
      </w:r>
      <w:proofErr w:type="spellStart"/>
      <w:r w:rsidRPr="001C1D6C">
        <w:rPr>
          <w:rFonts w:ascii="TimesNewRomanPSMT" w:hAnsi="TimesNewRomanPSMT" w:cs="TimesNewRomanPSMT"/>
          <w:sz w:val="24"/>
          <w:szCs w:val="24"/>
          <w:lang w:eastAsia="es-ES"/>
        </w:rPr>
        <w:t>Arch</w:t>
      </w:r>
      <w:proofErr w:type="spellEnd"/>
      <w:r w:rsidRPr="001C1D6C">
        <w:rPr>
          <w:rFonts w:ascii="TimesNewRomanPSMT" w:hAnsi="TimesNewRomanPSMT" w:cs="TimesNewRomanPSMT"/>
          <w:sz w:val="24"/>
          <w:szCs w:val="24"/>
          <w:lang w:eastAsia="es-ES"/>
        </w:rPr>
        <w:t xml:space="preserve"> </w:t>
      </w:r>
      <w:proofErr w:type="spellStart"/>
      <w:r w:rsidRPr="001C1D6C">
        <w:rPr>
          <w:rFonts w:ascii="TimesNewRomanPSMT" w:hAnsi="TimesNewRomanPSMT" w:cs="TimesNewRomanPSMT"/>
          <w:sz w:val="24"/>
          <w:szCs w:val="24"/>
          <w:lang w:eastAsia="es-ES"/>
        </w:rPr>
        <w:t>Gerontol</w:t>
      </w:r>
      <w:proofErr w:type="spellEnd"/>
      <w:r w:rsidRPr="001C1D6C">
        <w:rPr>
          <w:rFonts w:ascii="TimesNewRomanPSMT" w:hAnsi="TimesNewRomanPSMT" w:cs="TimesNewRomanPSMT"/>
          <w:sz w:val="24"/>
          <w:szCs w:val="24"/>
          <w:lang w:eastAsia="es-ES"/>
        </w:rPr>
        <w:t xml:space="preserve"> </w:t>
      </w:r>
      <w:proofErr w:type="spellStart"/>
      <w:r w:rsidRPr="001C1D6C">
        <w:rPr>
          <w:rFonts w:ascii="TimesNewRomanPSMT" w:hAnsi="TimesNewRomanPSMT" w:cs="TimesNewRomanPSMT"/>
          <w:sz w:val="24"/>
          <w:szCs w:val="24"/>
          <w:lang w:eastAsia="es-ES"/>
        </w:rPr>
        <w:t>Geriatr</w:t>
      </w:r>
      <w:proofErr w:type="spellEnd"/>
      <w:r w:rsidRPr="001C1D6C">
        <w:rPr>
          <w:rFonts w:ascii="TimesNewRomanPSMT" w:hAnsi="TimesNewRomanPSMT" w:cs="TimesNewRomanPSMT"/>
          <w:sz w:val="24"/>
          <w:szCs w:val="24"/>
          <w:lang w:eastAsia="es-ES"/>
        </w:rPr>
        <w:t>. 2015; 61:190-6.</w:t>
      </w:r>
    </w:p>
    <w:p w:rsidR="00210DC6" w:rsidRPr="001C1D6C" w:rsidRDefault="00210DC6" w:rsidP="00210DC6">
      <w:pPr>
        <w:numPr>
          <w:ilvl w:val="0"/>
          <w:numId w:val="42"/>
        </w:numPr>
        <w:spacing w:after="0" w:line="480" w:lineRule="auto"/>
        <w:jc w:val="both"/>
        <w:rPr>
          <w:rFonts w:ascii="Arial" w:hAnsi="Arial" w:cs="Arial"/>
          <w:sz w:val="24"/>
          <w:szCs w:val="24"/>
          <w:lang w:val="es-ES"/>
        </w:rPr>
      </w:pPr>
      <w:r w:rsidRPr="001C1D6C">
        <w:rPr>
          <w:rFonts w:ascii="Arial" w:hAnsi="Arial" w:cs="Arial"/>
          <w:sz w:val="24"/>
          <w:szCs w:val="24"/>
          <w:lang w:val="es-ES"/>
        </w:rPr>
        <w:t>Rodríguez OJ, Silva NS, López MJ. Caracterización Clínico Epidemiológica del Dengue en Cooperantes Cubanos Estado Trujillo. Diciembre 2008-Diciembre 2009. Archivos del Hospital Universitario" General Calixto García". 2015; 2(2).</w:t>
      </w:r>
    </w:p>
    <w:p w:rsidR="00210DC6" w:rsidRPr="001C1D6C" w:rsidRDefault="00210DC6" w:rsidP="00210DC6">
      <w:pPr>
        <w:numPr>
          <w:ilvl w:val="0"/>
          <w:numId w:val="42"/>
        </w:numPr>
        <w:spacing w:after="0" w:line="480" w:lineRule="auto"/>
        <w:jc w:val="both"/>
        <w:rPr>
          <w:rFonts w:ascii="Arial" w:hAnsi="Arial" w:cs="Arial"/>
          <w:sz w:val="24"/>
          <w:szCs w:val="24"/>
          <w:lang w:val="es-ES"/>
        </w:rPr>
      </w:pPr>
      <w:proofErr w:type="spellStart"/>
      <w:r w:rsidRPr="001C1D6C">
        <w:rPr>
          <w:rFonts w:ascii="Arial" w:hAnsi="Arial" w:cs="Arial"/>
          <w:sz w:val="24"/>
          <w:szCs w:val="24"/>
          <w:lang w:val="es-ES"/>
        </w:rPr>
        <w:t>Massón</w:t>
      </w:r>
      <w:proofErr w:type="spellEnd"/>
      <w:r w:rsidRPr="001C1D6C">
        <w:rPr>
          <w:rFonts w:ascii="Arial" w:hAnsi="Arial" w:cs="Arial"/>
          <w:sz w:val="24"/>
          <w:szCs w:val="24"/>
          <w:lang w:val="es-ES"/>
        </w:rPr>
        <w:t xml:space="preserve"> López ADC, González Valladares GJ, Espinosa Álvarez RF. Comportamiento clínico y epidemiológico del Dengue en el municipio 10 de Octubre. Revista Cubana de Medicina General Integral. 2015; 31(1):5-16</w:t>
      </w:r>
    </w:p>
    <w:p w:rsidR="00210DC6" w:rsidRPr="001C1D6C" w:rsidRDefault="00210DC6" w:rsidP="00210DC6">
      <w:pPr>
        <w:numPr>
          <w:ilvl w:val="0"/>
          <w:numId w:val="42"/>
        </w:numPr>
        <w:spacing w:after="0" w:line="480" w:lineRule="auto"/>
        <w:jc w:val="both"/>
        <w:rPr>
          <w:rFonts w:ascii="Arial" w:hAnsi="Arial" w:cs="Arial"/>
          <w:sz w:val="24"/>
          <w:szCs w:val="24"/>
          <w:lang w:val="es-ES"/>
        </w:rPr>
      </w:pPr>
      <w:r w:rsidRPr="001C1D6C">
        <w:rPr>
          <w:rFonts w:ascii="Arial" w:hAnsi="Arial" w:cs="Arial"/>
          <w:sz w:val="24"/>
          <w:szCs w:val="24"/>
          <w:lang w:val="es-ES"/>
        </w:rPr>
        <w:t xml:space="preserve">Betancourt SMR, Pérez MDJD, Enamorado PBP. Variables epidemiológicas en pacientes con sospecha de dengue. Revista Electrónica Dr. Zoilo E. </w:t>
      </w:r>
      <w:proofErr w:type="spellStart"/>
      <w:r w:rsidRPr="001C1D6C">
        <w:rPr>
          <w:rFonts w:ascii="Arial" w:hAnsi="Arial" w:cs="Arial"/>
          <w:sz w:val="24"/>
          <w:szCs w:val="24"/>
          <w:lang w:val="es-ES"/>
        </w:rPr>
        <w:t>Marinello</w:t>
      </w:r>
      <w:proofErr w:type="spellEnd"/>
      <w:r w:rsidRPr="001C1D6C">
        <w:rPr>
          <w:rFonts w:ascii="Arial" w:hAnsi="Arial" w:cs="Arial"/>
          <w:sz w:val="24"/>
          <w:szCs w:val="24"/>
          <w:lang w:val="es-ES"/>
        </w:rPr>
        <w:t xml:space="preserve"> </w:t>
      </w:r>
      <w:proofErr w:type="spellStart"/>
      <w:r w:rsidRPr="001C1D6C">
        <w:rPr>
          <w:rFonts w:ascii="Arial" w:hAnsi="Arial" w:cs="Arial"/>
          <w:sz w:val="24"/>
          <w:szCs w:val="24"/>
          <w:lang w:val="es-ES"/>
        </w:rPr>
        <w:t>Vidaurreta</w:t>
      </w:r>
      <w:proofErr w:type="spellEnd"/>
      <w:r w:rsidRPr="001C1D6C">
        <w:rPr>
          <w:rFonts w:ascii="Arial" w:hAnsi="Arial" w:cs="Arial"/>
          <w:sz w:val="24"/>
          <w:szCs w:val="24"/>
          <w:lang w:val="es-ES"/>
        </w:rPr>
        <w:t>. 2016; 41(3)</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Verwoert</w:t>
      </w:r>
      <w:proofErr w:type="spellEnd"/>
      <w:r w:rsidRPr="001C1D6C">
        <w:rPr>
          <w:rFonts w:ascii="Arial" w:hAnsi="Arial" w:cs="Arial"/>
          <w:sz w:val="24"/>
          <w:szCs w:val="24"/>
          <w:lang w:val="en-US"/>
        </w:rPr>
        <w:t xml:space="preserve"> GC, </w:t>
      </w:r>
      <w:proofErr w:type="spellStart"/>
      <w:r w:rsidRPr="001C1D6C">
        <w:rPr>
          <w:rFonts w:ascii="Arial" w:hAnsi="Arial" w:cs="Arial"/>
          <w:sz w:val="24"/>
          <w:szCs w:val="24"/>
          <w:lang w:val="en-US"/>
        </w:rPr>
        <w:t>Mattace-Raso</w:t>
      </w:r>
      <w:proofErr w:type="spellEnd"/>
      <w:r w:rsidRPr="001C1D6C">
        <w:rPr>
          <w:rFonts w:ascii="Arial" w:hAnsi="Arial" w:cs="Arial"/>
          <w:sz w:val="24"/>
          <w:szCs w:val="24"/>
          <w:lang w:val="en-US"/>
        </w:rPr>
        <w:t xml:space="preserve"> FU, </w:t>
      </w:r>
      <w:proofErr w:type="spellStart"/>
      <w:r w:rsidRPr="001C1D6C">
        <w:rPr>
          <w:rFonts w:ascii="Arial" w:hAnsi="Arial" w:cs="Arial"/>
          <w:sz w:val="24"/>
          <w:szCs w:val="24"/>
          <w:lang w:val="en-US"/>
        </w:rPr>
        <w:t>Hofman</w:t>
      </w:r>
      <w:proofErr w:type="spellEnd"/>
      <w:r w:rsidRPr="001C1D6C">
        <w:rPr>
          <w:rFonts w:ascii="Arial" w:hAnsi="Arial" w:cs="Arial"/>
          <w:sz w:val="24"/>
          <w:szCs w:val="24"/>
          <w:lang w:val="en-US"/>
        </w:rPr>
        <w:t xml:space="preserve"> A, </w:t>
      </w:r>
      <w:proofErr w:type="spellStart"/>
      <w:r w:rsidRPr="001C1D6C">
        <w:rPr>
          <w:rFonts w:ascii="Arial" w:hAnsi="Arial" w:cs="Arial"/>
          <w:sz w:val="24"/>
          <w:szCs w:val="24"/>
          <w:lang w:val="en-US"/>
        </w:rPr>
        <w:t>Heeringa</w:t>
      </w:r>
      <w:proofErr w:type="spellEnd"/>
      <w:r w:rsidRPr="001C1D6C">
        <w:rPr>
          <w:rFonts w:ascii="Arial" w:hAnsi="Arial" w:cs="Arial"/>
          <w:sz w:val="24"/>
          <w:szCs w:val="24"/>
          <w:lang w:val="en-US"/>
        </w:rPr>
        <w:t xml:space="preserve"> J, </w:t>
      </w:r>
      <w:proofErr w:type="spellStart"/>
      <w:r w:rsidRPr="001C1D6C">
        <w:rPr>
          <w:rFonts w:ascii="Arial" w:hAnsi="Arial" w:cs="Arial"/>
          <w:sz w:val="24"/>
          <w:szCs w:val="24"/>
          <w:lang w:val="en-US"/>
        </w:rPr>
        <w:t>Stricker</w:t>
      </w:r>
      <w:proofErr w:type="spellEnd"/>
      <w:r w:rsidRPr="001C1D6C">
        <w:rPr>
          <w:rFonts w:ascii="Arial" w:hAnsi="Arial" w:cs="Arial"/>
          <w:sz w:val="24"/>
          <w:szCs w:val="24"/>
          <w:lang w:val="en-US"/>
        </w:rPr>
        <w:t xml:space="preserve"> BH, </w:t>
      </w:r>
      <w:proofErr w:type="spellStart"/>
      <w:r w:rsidRPr="001C1D6C">
        <w:rPr>
          <w:rFonts w:ascii="Arial" w:hAnsi="Arial" w:cs="Arial"/>
          <w:sz w:val="24"/>
          <w:szCs w:val="24"/>
          <w:lang w:val="en-US"/>
        </w:rPr>
        <w:t>Breteler</w:t>
      </w:r>
      <w:proofErr w:type="spellEnd"/>
      <w:r w:rsidRPr="001C1D6C">
        <w:rPr>
          <w:rFonts w:ascii="Arial" w:hAnsi="Arial" w:cs="Arial"/>
          <w:sz w:val="24"/>
          <w:szCs w:val="24"/>
          <w:lang w:val="en-US"/>
        </w:rPr>
        <w:t xml:space="preserve"> MM, et al. Orthostatic hypotension and risk of cardiovascular disease in elderly people: The Rotterdam study. J Am </w:t>
      </w:r>
      <w:proofErr w:type="spellStart"/>
      <w:r w:rsidRPr="001C1D6C">
        <w:rPr>
          <w:rFonts w:ascii="Arial" w:hAnsi="Arial" w:cs="Arial"/>
          <w:sz w:val="24"/>
          <w:szCs w:val="24"/>
          <w:lang w:val="en-US"/>
        </w:rPr>
        <w:t>Geriatr</w:t>
      </w:r>
      <w:proofErr w:type="spellEnd"/>
      <w:r w:rsidRPr="001C1D6C">
        <w:rPr>
          <w:rFonts w:ascii="Arial" w:hAnsi="Arial" w:cs="Arial"/>
          <w:sz w:val="24"/>
          <w:szCs w:val="24"/>
          <w:lang w:val="en-US"/>
        </w:rPr>
        <w:t xml:space="preserve"> Soc. 2008; 56:1816-20</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Fedorowski</w:t>
      </w:r>
      <w:proofErr w:type="spellEnd"/>
      <w:r w:rsidRPr="001C1D6C">
        <w:rPr>
          <w:rFonts w:ascii="Arial" w:hAnsi="Arial" w:cs="Arial"/>
          <w:sz w:val="24"/>
          <w:szCs w:val="24"/>
          <w:lang w:val="en-US"/>
        </w:rPr>
        <w:t xml:space="preserve"> A, </w:t>
      </w:r>
      <w:proofErr w:type="spellStart"/>
      <w:r w:rsidRPr="001C1D6C">
        <w:rPr>
          <w:rFonts w:ascii="Arial" w:hAnsi="Arial" w:cs="Arial"/>
          <w:sz w:val="24"/>
          <w:szCs w:val="24"/>
          <w:lang w:val="en-US"/>
        </w:rPr>
        <w:t>Stavenow</w:t>
      </w:r>
      <w:proofErr w:type="spellEnd"/>
      <w:r w:rsidRPr="001C1D6C">
        <w:rPr>
          <w:rFonts w:ascii="Arial" w:hAnsi="Arial" w:cs="Arial"/>
          <w:sz w:val="24"/>
          <w:szCs w:val="24"/>
          <w:lang w:val="en-US"/>
        </w:rPr>
        <w:t xml:space="preserve"> L, </w:t>
      </w:r>
      <w:proofErr w:type="spellStart"/>
      <w:r w:rsidRPr="001C1D6C">
        <w:rPr>
          <w:rFonts w:ascii="Arial" w:hAnsi="Arial" w:cs="Arial"/>
          <w:sz w:val="24"/>
          <w:szCs w:val="24"/>
          <w:lang w:val="en-US"/>
        </w:rPr>
        <w:t>Hedblad</w:t>
      </w:r>
      <w:proofErr w:type="spellEnd"/>
      <w:r w:rsidRPr="001C1D6C">
        <w:rPr>
          <w:rFonts w:ascii="Arial" w:hAnsi="Arial" w:cs="Arial"/>
          <w:sz w:val="24"/>
          <w:szCs w:val="24"/>
          <w:lang w:val="en-US"/>
        </w:rPr>
        <w:t xml:space="preserve"> B, Berglund G, Nilsson PM, </w:t>
      </w:r>
      <w:proofErr w:type="spellStart"/>
      <w:r w:rsidRPr="001C1D6C">
        <w:rPr>
          <w:rFonts w:ascii="Arial" w:hAnsi="Arial" w:cs="Arial"/>
          <w:sz w:val="24"/>
          <w:szCs w:val="24"/>
          <w:lang w:val="en-US"/>
        </w:rPr>
        <w:t>Melander</w:t>
      </w:r>
      <w:proofErr w:type="spellEnd"/>
      <w:r w:rsidRPr="001C1D6C">
        <w:rPr>
          <w:rFonts w:ascii="Arial" w:hAnsi="Arial" w:cs="Arial"/>
          <w:sz w:val="24"/>
          <w:szCs w:val="24"/>
          <w:lang w:val="en-US"/>
        </w:rPr>
        <w:t xml:space="preserve"> O. Orthostatic hypotension predicts all-cause mortality and coronary events in </w:t>
      </w:r>
      <w:proofErr w:type="spellStart"/>
      <w:r w:rsidRPr="001C1D6C">
        <w:rPr>
          <w:rFonts w:ascii="Arial" w:hAnsi="Arial" w:cs="Arial"/>
          <w:sz w:val="24"/>
          <w:szCs w:val="24"/>
          <w:lang w:val="en-US"/>
        </w:rPr>
        <w:lastRenderedPageBreak/>
        <w:t>middleaged</w:t>
      </w:r>
      <w:proofErr w:type="spellEnd"/>
      <w:r w:rsidRPr="001C1D6C">
        <w:rPr>
          <w:rFonts w:ascii="Arial" w:hAnsi="Arial" w:cs="Arial"/>
          <w:sz w:val="24"/>
          <w:szCs w:val="24"/>
          <w:lang w:val="en-US"/>
        </w:rPr>
        <w:t xml:space="preserve"> individuals (The Malmö Preventive Project). </w:t>
      </w:r>
      <w:proofErr w:type="spellStart"/>
      <w:r w:rsidRPr="001C1D6C">
        <w:rPr>
          <w:rFonts w:ascii="Arial" w:hAnsi="Arial" w:cs="Arial"/>
          <w:sz w:val="24"/>
          <w:szCs w:val="24"/>
          <w:lang w:val="en-US"/>
        </w:rPr>
        <w:t>Eur</w:t>
      </w:r>
      <w:proofErr w:type="spellEnd"/>
      <w:r w:rsidRPr="001C1D6C">
        <w:rPr>
          <w:rFonts w:ascii="Arial" w:hAnsi="Arial" w:cs="Arial"/>
          <w:sz w:val="24"/>
          <w:szCs w:val="24"/>
          <w:lang w:val="en-US"/>
        </w:rPr>
        <w:t xml:space="preserve"> Heart J. 2010; 31:85-91</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Arial" w:hAnsi="Arial" w:cs="Arial"/>
          <w:sz w:val="24"/>
          <w:szCs w:val="24"/>
          <w:lang w:val="en-US"/>
        </w:rPr>
        <w:t>Frewen</w:t>
      </w:r>
      <w:proofErr w:type="spellEnd"/>
      <w:r w:rsidRPr="001C1D6C">
        <w:rPr>
          <w:rFonts w:ascii="Arial" w:hAnsi="Arial" w:cs="Arial"/>
          <w:sz w:val="24"/>
          <w:szCs w:val="24"/>
          <w:lang w:val="en-US"/>
        </w:rPr>
        <w:t xml:space="preserve"> J, </w:t>
      </w:r>
      <w:proofErr w:type="spellStart"/>
      <w:r w:rsidRPr="001C1D6C">
        <w:rPr>
          <w:rFonts w:ascii="Arial" w:hAnsi="Arial" w:cs="Arial"/>
          <w:sz w:val="24"/>
          <w:szCs w:val="24"/>
          <w:lang w:val="en-US"/>
        </w:rPr>
        <w:t>Savva</w:t>
      </w:r>
      <w:proofErr w:type="spellEnd"/>
      <w:r w:rsidRPr="001C1D6C">
        <w:rPr>
          <w:rFonts w:ascii="Arial" w:hAnsi="Arial" w:cs="Arial"/>
          <w:sz w:val="24"/>
          <w:szCs w:val="24"/>
          <w:lang w:val="en-US"/>
        </w:rPr>
        <w:t xml:space="preserve"> GM, Boyle G, </w:t>
      </w:r>
      <w:proofErr w:type="spellStart"/>
      <w:r w:rsidRPr="001C1D6C">
        <w:rPr>
          <w:rFonts w:ascii="Arial" w:hAnsi="Arial" w:cs="Arial"/>
          <w:sz w:val="24"/>
          <w:szCs w:val="24"/>
          <w:lang w:val="en-US"/>
        </w:rPr>
        <w:t>Finucane</w:t>
      </w:r>
      <w:proofErr w:type="spellEnd"/>
      <w:r w:rsidRPr="001C1D6C">
        <w:rPr>
          <w:rFonts w:ascii="Arial" w:hAnsi="Arial" w:cs="Arial"/>
          <w:sz w:val="24"/>
          <w:szCs w:val="24"/>
          <w:lang w:val="en-US"/>
        </w:rPr>
        <w:t xml:space="preserve"> C, Kenny RA. Cognitive performance in orthostatic hypotension: findings from a nationally representative sample. </w:t>
      </w:r>
      <w:r w:rsidRPr="001C1D6C">
        <w:rPr>
          <w:rFonts w:ascii="Arial" w:hAnsi="Arial" w:cs="Arial"/>
          <w:sz w:val="24"/>
          <w:szCs w:val="24"/>
        </w:rPr>
        <w:t xml:space="preserve">J Am </w:t>
      </w:r>
      <w:proofErr w:type="spellStart"/>
      <w:r w:rsidRPr="001C1D6C">
        <w:rPr>
          <w:rFonts w:ascii="Arial" w:hAnsi="Arial" w:cs="Arial"/>
          <w:sz w:val="24"/>
          <w:szCs w:val="24"/>
        </w:rPr>
        <w:t>Geriatr</w:t>
      </w:r>
      <w:proofErr w:type="spellEnd"/>
      <w:r w:rsidRPr="001C1D6C">
        <w:rPr>
          <w:rFonts w:ascii="Arial" w:hAnsi="Arial" w:cs="Arial"/>
          <w:sz w:val="24"/>
          <w:szCs w:val="24"/>
        </w:rPr>
        <w:t xml:space="preserve"> Soc. 2014; 62:117-22</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Valbusa</w:t>
      </w:r>
      <w:proofErr w:type="spellEnd"/>
      <w:r w:rsidRPr="001C1D6C">
        <w:rPr>
          <w:rFonts w:ascii="Arial" w:hAnsi="Arial" w:cs="Arial"/>
          <w:sz w:val="24"/>
          <w:szCs w:val="24"/>
          <w:lang w:val="en-US"/>
        </w:rPr>
        <w:t xml:space="preserve"> F, </w:t>
      </w:r>
      <w:proofErr w:type="spellStart"/>
      <w:r w:rsidRPr="001C1D6C">
        <w:rPr>
          <w:rFonts w:ascii="Arial" w:hAnsi="Arial" w:cs="Arial"/>
          <w:sz w:val="24"/>
          <w:szCs w:val="24"/>
          <w:lang w:val="en-US"/>
        </w:rPr>
        <w:t>Labat</w:t>
      </w:r>
      <w:proofErr w:type="spellEnd"/>
      <w:r w:rsidRPr="001C1D6C">
        <w:rPr>
          <w:rFonts w:ascii="Arial" w:hAnsi="Arial" w:cs="Arial"/>
          <w:sz w:val="24"/>
          <w:szCs w:val="24"/>
          <w:lang w:val="en-US"/>
        </w:rPr>
        <w:t xml:space="preserve"> C, Salvi P, Vivian M, </w:t>
      </w:r>
      <w:proofErr w:type="spellStart"/>
      <w:r w:rsidRPr="001C1D6C">
        <w:rPr>
          <w:rFonts w:ascii="Arial" w:hAnsi="Arial" w:cs="Arial"/>
          <w:sz w:val="24"/>
          <w:szCs w:val="24"/>
          <w:lang w:val="en-US"/>
        </w:rPr>
        <w:t>Hanon</w:t>
      </w:r>
      <w:proofErr w:type="spellEnd"/>
      <w:r w:rsidRPr="001C1D6C">
        <w:rPr>
          <w:rFonts w:ascii="Arial" w:hAnsi="Arial" w:cs="Arial"/>
          <w:sz w:val="24"/>
          <w:szCs w:val="24"/>
          <w:lang w:val="en-US"/>
        </w:rPr>
        <w:t xml:space="preserve"> O, </w:t>
      </w:r>
      <w:proofErr w:type="spellStart"/>
      <w:r w:rsidRPr="001C1D6C">
        <w:rPr>
          <w:rFonts w:ascii="Arial" w:hAnsi="Arial" w:cs="Arial"/>
          <w:sz w:val="24"/>
          <w:szCs w:val="24"/>
          <w:lang w:val="en-US"/>
        </w:rPr>
        <w:t>Benetos</w:t>
      </w:r>
      <w:proofErr w:type="spellEnd"/>
      <w:r w:rsidRPr="001C1D6C">
        <w:rPr>
          <w:rFonts w:ascii="Arial" w:hAnsi="Arial" w:cs="Arial"/>
          <w:sz w:val="24"/>
          <w:szCs w:val="24"/>
          <w:lang w:val="en-US"/>
        </w:rPr>
        <w:t xml:space="preserve"> A. Orthostatic hypotension in very old individuals living in nursing homes: the PARTAGE study. J </w:t>
      </w:r>
      <w:proofErr w:type="spellStart"/>
      <w:r w:rsidRPr="001C1D6C">
        <w:rPr>
          <w:rFonts w:ascii="Arial" w:hAnsi="Arial" w:cs="Arial"/>
          <w:sz w:val="24"/>
          <w:szCs w:val="24"/>
          <w:lang w:val="en-US"/>
        </w:rPr>
        <w:t>hypertens</w:t>
      </w:r>
      <w:proofErr w:type="spellEnd"/>
      <w:r w:rsidRPr="001C1D6C">
        <w:rPr>
          <w:rFonts w:ascii="Arial" w:hAnsi="Arial" w:cs="Arial"/>
          <w:sz w:val="24"/>
          <w:szCs w:val="24"/>
          <w:lang w:val="en-US"/>
        </w:rPr>
        <w:t>. 2012; 30:53-60</w:t>
      </w:r>
    </w:p>
    <w:p w:rsidR="00210DC6" w:rsidRPr="001C1D6C" w:rsidRDefault="00210DC6" w:rsidP="00210DC6">
      <w:pPr>
        <w:numPr>
          <w:ilvl w:val="0"/>
          <w:numId w:val="42"/>
        </w:numPr>
        <w:spacing w:after="0" w:line="480" w:lineRule="auto"/>
        <w:jc w:val="both"/>
        <w:rPr>
          <w:rFonts w:ascii="Arial" w:hAnsi="Arial" w:cs="Arial"/>
          <w:sz w:val="24"/>
          <w:szCs w:val="24"/>
        </w:rPr>
      </w:pPr>
      <w:r w:rsidRPr="001C1D6C">
        <w:rPr>
          <w:rFonts w:ascii="Arial" w:hAnsi="Arial" w:cs="Arial"/>
          <w:sz w:val="24"/>
          <w:szCs w:val="24"/>
          <w:lang w:val="es-ES"/>
        </w:rPr>
        <w:t xml:space="preserve">Méndez AS, Melgarejo JD, Mena LJ, Chávez CA, González AC, </w:t>
      </w:r>
      <w:proofErr w:type="spellStart"/>
      <w:r w:rsidRPr="001C1D6C">
        <w:rPr>
          <w:rFonts w:ascii="Arial" w:hAnsi="Arial" w:cs="Arial"/>
          <w:sz w:val="24"/>
          <w:szCs w:val="24"/>
          <w:lang w:val="es-ES"/>
        </w:rPr>
        <w:t>Boggia</w:t>
      </w:r>
      <w:proofErr w:type="spellEnd"/>
      <w:r w:rsidRPr="001C1D6C">
        <w:rPr>
          <w:rFonts w:ascii="Arial" w:hAnsi="Arial" w:cs="Arial"/>
          <w:sz w:val="24"/>
          <w:szCs w:val="24"/>
          <w:lang w:val="es-ES"/>
        </w:rPr>
        <w:t xml:space="preserve"> J, et al. </w:t>
      </w:r>
      <w:r w:rsidRPr="001C1D6C">
        <w:rPr>
          <w:rFonts w:ascii="Arial" w:hAnsi="Arial" w:cs="Arial"/>
          <w:sz w:val="24"/>
          <w:szCs w:val="24"/>
          <w:lang w:val="en-US"/>
        </w:rPr>
        <w:t xml:space="preserve">Risk factors for orthostatic hypotension: Differences between elderly men and women. </w:t>
      </w:r>
      <w:r w:rsidRPr="001C1D6C">
        <w:rPr>
          <w:rFonts w:ascii="Arial" w:hAnsi="Arial" w:cs="Arial"/>
          <w:sz w:val="24"/>
          <w:szCs w:val="24"/>
        </w:rPr>
        <w:t xml:space="preserve">American </w:t>
      </w:r>
      <w:proofErr w:type="spellStart"/>
      <w:r w:rsidRPr="001C1D6C">
        <w:rPr>
          <w:rFonts w:ascii="Arial" w:hAnsi="Arial" w:cs="Arial"/>
          <w:sz w:val="24"/>
          <w:szCs w:val="24"/>
        </w:rPr>
        <w:t>journal</w:t>
      </w:r>
      <w:proofErr w:type="spellEnd"/>
      <w:r w:rsidRPr="001C1D6C">
        <w:rPr>
          <w:rFonts w:ascii="Arial" w:hAnsi="Arial" w:cs="Arial"/>
          <w:sz w:val="24"/>
          <w:szCs w:val="24"/>
        </w:rPr>
        <w:t xml:space="preserve"> of </w:t>
      </w:r>
      <w:proofErr w:type="spellStart"/>
      <w:r w:rsidRPr="001C1D6C">
        <w:rPr>
          <w:rFonts w:ascii="Arial" w:hAnsi="Arial" w:cs="Arial"/>
          <w:sz w:val="24"/>
          <w:szCs w:val="24"/>
        </w:rPr>
        <w:t>hypertension</w:t>
      </w:r>
      <w:proofErr w:type="spellEnd"/>
      <w:r w:rsidRPr="001C1D6C">
        <w:rPr>
          <w:rFonts w:ascii="Arial" w:hAnsi="Arial" w:cs="Arial"/>
          <w:sz w:val="24"/>
          <w:szCs w:val="24"/>
        </w:rPr>
        <w:t>. 2018; 31(7):797-803</w:t>
      </w:r>
    </w:p>
    <w:p w:rsidR="00210DC6" w:rsidRPr="001C1D6C" w:rsidRDefault="00210DC6" w:rsidP="00210DC6">
      <w:pPr>
        <w:numPr>
          <w:ilvl w:val="0"/>
          <w:numId w:val="42"/>
        </w:numPr>
        <w:spacing w:after="0" w:line="480" w:lineRule="auto"/>
        <w:jc w:val="both"/>
        <w:rPr>
          <w:rFonts w:ascii="Arial" w:hAnsi="Arial" w:cs="Arial"/>
          <w:sz w:val="24"/>
          <w:szCs w:val="24"/>
          <w:lang w:val="en-US"/>
        </w:rPr>
      </w:pPr>
      <w:r w:rsidRPr="001C1D6C">
        <w:rPr>
          <w:rFonts w:ascii="Arial" w:hAnsi="Arial" w:cs="Arial"/>
          <w:sz w:val="24"/>
          <w:szCs w:val="24"/>
          <w:lang w:val="en-US"/>
        </w:rPr>
        <w:t xml:space="preserve">Cheng YC, Vyas A, </w:t>
      </w:r>
      <w:proofErr w:type="spellStart"/>
      <w:r w:rsidRPr="001C1D6C">
        <w:rPr>
          <w:rFonts w:ascii="Arial" w:hAnsi="Arial" w:cs="Arial"/>
          <w:sz w:val="24"/>
          <w:szCs w:val="24"/>
          <w:lang w:val="en-US"/>
        </w:rPr>
        <w:t>Perlmuter</w:t>
      </w:r>
      <w:proofErr w:type="spellEnd"/>
      <w:r w:rsidRPr="001C1D6C">
        <w:rPr>
          <w:rFonts w:ascii="Arial" w:hAnsi="Arial" w:cs="Arial"/>
          <w:sz w:val="24"/>
          <w:szCs w:val="24"/>
          <w:lang w:val="en-US"/>
        </w:rPr>
        <w:t xml:space="preserve"> LC, Hymen E. Gender Differences in Orthostatic Hypotension. The American Journal of the Medical Sciences. 2011; 342(3):221-5</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Arial" w:hAnsi="Arial" w:cs="Arial"/>
          <w:sz w:val="24"/>
          <w:szCs w:val="24"/>
          <w:lang w:val="pt-BR"/>
        </w:rPr>
        <w:t>Djossou</w:t>
      </w:r>
      <w:proofErr w:type="spellEnd"/>
      <w:r w:rsidRPr="001C1D6C">
        <w:rPr>
          <w:rFonts w:ascii="Arial" w:hAnsi="Arial" w:cs="Arial"/>
          <w:sz w:val="24"/>
          <w:szCs w:val="24"/>
          <w:lang w:val="pt-BR"/>
        </w:rPr>
        <w:t xml:space="preserve"> F, </w:t>
      </w:r>
      <w:proofErr w:type="spellStart"/>
      <w:r w:rsidRPr="001C1D6C">
        <w:rPr>
          <w:rFonts w:ascii="Arial" w:hAnsi="Arial" w:cs="Arial"/>
          <w:sz w:val="24"/>
          <w:szCs w:val="24"/>
          <w:lang w:val="pt-BR"/>
        </w:rPr>
        <w:t>Vesin</w:t>
      </w:r>
      <w:proofErr w:type="spellEnd"/>
      <w:r w:rsidRPr="001C1D6C">
        <w:rPr>
          <w:rFonts w:ascii="Arial" w:hAnsi="Arial" w:cs="Arial"/>
          <w:sz w:val="24"/>
          <w:szCs w:val="24"/>
          <w:lang w:val="pt-BR"/>
        </w:rPr>
        <w:t xml:space="preserve"> G, Elenga N, Demar M, Epelboin L, Walter G, et al. </w:t>
      </w:r>
      <w:r w:rsidRPr="001C1D6C">
        <w:rPr>
          <w:rFonts w:ascii="Arial" w:hAnsi="Arial" w:cs="Arial"/>
          <w:sz w:val="24"/>
          <w:szCs w:val="24"/>
          <w:lang w:val="en-US"/>
        </w:rPr>
        <w:t xml:space="preserve">A predictive score for hypotension in patients with confirmed dengue fever in Cayenne Hospital, French Guiana. </w:t>
      </w:r>
      <w:proofErr w:type="spellStart"/>
      <w:r w:rsidRPr="001C1D6C">
        <w:rPr>
          <w:rFonts w:ascii="Arial" w:hAnsi="Arial" w:cs="Arial"/>
          <w:sz w:val="24"/>
          <w:szCs w:val="24"/>
        </w:rPr>
        <w:t>Trans</w:t>
      </w:r>
      <w:proofErr w:type="spellEnd"/>
      <w:r w:rsidRPr="001C1D6C">
        <w:rPr>
          <w:rFonts w:ascii="Arial" w:hAnsi="Arial" w:cs="Arial"/>
          <w:sz w:val="24"/>
          <w:szCs w:val="24"/>
        </w:rPr>
        <w:t xml:space="preserve"> R </w:t>
      </w:r>
      <w:proofErr w:type="spellStart"/>
      <w:r w:rsidRPr="001C1D6C">
        <w:rPr>
          <w:rFonts w:ascii="Arial" w:hAnsi="Arial" w:cs="Arial"/>
          <w:sz w:val="24"/>
          <w:szCs w:val="24"/>
        </w:rPr>
        <w:t>Soc</w:t>
      </w:r>
      <w:proofErr w:type="spellEnd"/>
      <w:r w:rsidRPr="001C1D6C">
        <w:rPr>
          <w:rFonts w:ascii="Arial" w:hAnsi="Arial" w:cs="Arial"/>
          <w:sz w:val="24"/>
          <w:szCs w:val="24"/>
        </w:rPr>
        <w:t xml:space="preserve"> </w:t>
      </w:r>
      <w:proofErr w:type="spellStart"/>
      <w:r w:rsidRPr="001C1D6C">
        <w:rPr>
          <w:rFonts w:ascii="Arial" w:hAnsi="Arial" w:cs="Arial"/>
          <w:sz w:val="24"/>
          <w:szCs w:val="24"/>
        </w:rPr>
        <w:t>Trop</w:t>
      </w:r>
      <w:proofErr w:type="spellEnd"/>
      <w:r w:rsidRPr="001C1D6C">
        <w:rPr>
          <w:rFonts w:ascii="Arial" w:hAnsi="Arial" w:cs="Arial"/>
          <w:sz w:val="24"/>
          <w:szCs w:val="24"/>
        </w:rPr>
        <w:t xml:space="preserve"> </w:t>
      </w:r>
      <w:proofErr w:type="spellStart"/>
      <w:r w:rsidRPr="001C1D6C">
        <w:rPr>
          <w:rFonts w:ascii="Arial" w:hAnsi="Arial" w:cs="Arial"/>
          <w:sz w:val="24"/>
          <w:szCs w:val="24"/>
        </w:rPr>
        <w:t>Med</w:t>
      </w:r>
      <w:proofErr w:type="spellEnd"/>
      <w:r w:rsidRPr="001C1D6C">
        <w:rPr>
          <w:rFonts w:ascii="Arial" w:hAnsi="Arial" w:cs="Arial"/>
          <w:sz w:val="24"/>
          <w:szCs w:val="24"/>
        </w:rPr>
        <w:t xml:space="preserve"> </w:t>
      </w:r>
      <w:proofErr w:type="spellStart"/>
      <w:r w:rsidRPr="001C1D6C">
        <w:rPr>
          <w:rFonts w:ascii="Arial" w:hAnsi="Arial" w:cs="Arial"/>
          <w:sz w:val="24"/>
          <w:szCs w:val="24"/>
        </w:rPr>
        <w:t>Hyg</w:t>
      </w:r>
      <w:proofErr w:type="spellEnd"/>
      <w:r w:rsidRPr="001C1D6C">
        <w:rPr>
          <w:rFonts w:ascii="Arial" w:hAnsi="Arial" w:cs="Arial"/>
          <w:sz w:val="24"/>
          <w:szCs w:val="24"/>
        </w:rPr>
        <w:t>. 2016; 110(12):705-13.</w:t>
      </w:r>
    </w:p>
    <w:p w:rsidR="00210DC6" w:rsidRPr="001C1D6C" w:rsidRDefault="00210DC6" w:rsidP="00210DC6">
      <w:pPr>
        <w:numPr>
          <w:ilvl w:val="0"/>
          <w:numId w:val="42"/>
        </w:numPr>
        <w:spacing w:after="0" w:line="480" w:lineRule="auto"/>
        <w:jc w:val="both"/>
        <w:rPr>
          <w:rFonts w:ascii="Arial" w:hAnsi="Arial" w:cs="Arial"/>
          <w:sz w:val="24"/>
          <w:szCs w:val="24"/>
        </w:rPr>
      </w:pPr>
      <w:r w:rsidRPr="001C1D6C">
        <w:rPr>
          <w:rFonts w:ascii="Arial" w:hAnsi="Arial" w:cs="Arial"/>
          <w:sz w:val="24"/>
          <w:szCs w:val="24"/>
          <w:lang w:val="en-US"/>
        </w:rPr>
        <w:t xml:space="preserve">Wu JS, Yang YC, Lu FH, Wu CH, Chang CJ. Population-based study on the prevalence and correlates of orthostatic hypotension/hypertension and orthostatic dizziness. </w:t>
      </w:r>
      <w:proofErr w:type="spellStart"/>
      <w:r w:rsidRPr="001C1D6C">
        <w:rPr>
          <w:rFonts w:ascii="Arial" w:hAnsi="Arial" w:cs="Arial"/>
          <w:sz w:val="24"/>
          <w:szCs w:val="24"/>
        </w:rPr>
        <w:t>Hypertens</w:t>
      </w:r>
      <w:proofErr w:type="spellEnd"/>
      <w:r w:rsidRPr="001C1D6C">
        <w:rPr>
          <w:rFonts w:ascii="Arial" w:hAnsi="Arial" w:cs="Arial"/>
          <w:sz w:val="24"/>
          <w:szCs w:val="24"/>
        </w:rPr>
        <w:t xml:space="preserve"> Res. 2008; 31:897-904.</w:t>
      </w:r>
      <w:r w:rsidR="003A1C66" w:rsidRPr="001C1D6C">
        <w:rPr>
          <w:rFonts w:ascii="Arial" w:hAnsi="Arial" w:cs="Arial"/>
          <w:sz w:val="24"/>
          <w:szCs w:val="24"/>
        </w:rPr>
        <w:t>---2</w:t>
      </w:r>
      <w:r w:rsidR="001D7B39" w:rsidRPr="001C1D6C">
        <w:rPr>
          <w:rFonts w:ascii="Arial" w:hAnsi="Arial" w:cs="Arial"/>
          <w:sz w:val="24"/>
          <w:szCs w:val="24"/>
        </w:rPr>
        <w:t>3</w:t>
      </w:r>
    </w:p>
    <w:p w:rsidR="00210DC6" w:rsidRPr="001C1D6C" w:rsidRDefault="00210DC6" w:rsidP="00210DC6">
      <w:pPr>
        <w:numPr>
          <w:ilvl w:val="0"/>
          <w:numId w:val="42"/>
        </w:numPr>
        <w:spacing w:after="0" w:line="480" w:lineRule="auto"/>
        <w:jc w:val="both"/>
        <w:rPr>
          <w:rFonts w:ascii="Arial" w:hAnsi="Arial" w:cs="Arial"/>
          <w:sz w:val="24"/>
          <w:szCs w:val="24"/>
        </w:rPr>
      </w:pPr>
      <w:r w:rsidRPr="001C1D6C">
        <w:rPr>
          <w:rFonts w:ascii="Arial" w:hAnsi="Arial" w:cs="Arial"/>
          <w:sz w:val="24"/>
          <w:szCs w:val="24"/>
          <w:lang w:val="en-US"/>
        </w:rPr>
        <w:t xml:space="preserve">Perkins BA, </w:t>
      </w:r>
      <w:proofErr w:type="spellStart"/>
      <w:r w:rsidRPr="001C1D6C">
        <w:rPr>
          <w:rFonts w:ascii="Arial" w:hAnsi="Arial" w:cs="Arial"/>
          <w:sz w:val="24"/>
          <w:szCs w:val="24"/>
          <w:lang w:val="en-US"/>
        </w:rPr>
        <w:t>Orszag</w:t>
      </w:r>
      <w:proofErr w:type="spellEnd"/>
      <w:r w:rsidRPr="001C1D6C">
        <w:rPr>
          <w:rFonts w:ascii="Arial" w:hAnsi="Arial" w:cs="Arial"/>
          <w:sz w:val="24"/>
          <w:szCs w:val="24"/>
          <w:lang w:val="en-US"/>
        </w:rPr>
        <w:t xml:space="preserve"> A, Ngo M, Ng E, New P, </w:t>
      </w:r>
      <w:proofErr w:type="spellStart"/>
      <w:r w:rsidRPr="001C1D6C">
        <w:rPr>
          <w:rFonts w:ascii="Arial" w:hAnsi="Arial" w:cs="Arial"/>
          <w:sz w:val="24"/>
          <w:szCs w:val="24"/>
          <w:lang w:val="en-US"/>
        </w:rPr>
        <w:t>Bril</w:t>
      </w:r>
      <w:proofErr w:type="spellEnd"/>
      <w:r w:rsidRPr="001C1D6C">
        <w:rPr>
          <w:rFonts w:ascii="Arial" w:hAnsi="Arial" w:cs="Arial"/>
          <w:sz w:val="24"/>
          <w:szCs w:val="24"/>
          <w:lang w:val="en-US"/>
        </w:rPr>
        <w:t xml:space="preserve"> V. Prediction of incident diabetic neuropathy using the monofilament examination: a 4-year prospective study. </w:t>
      </w:r>
      <w:r w:rsidRPr="001C1D6C">
        <w:rPr>
          <w:rFonts w:ascii="Arial" w:hAnsi="Arial" w:cs="Arial"/>
          <w:sz w:val="24"/>
          <w:szCs w:val="24"/>
        </w:rPr>
        <w:t xml:space="preserve">Diabetes </w:t>
      </w:r>
      <w:proofErr w:type="spellStart"/>
      <w:r w:rsidRPr="001C1D6C">
        <w:rPr>
          <w:rFonts w:ascii="Arial" w:hAnsi="Arial" w:cs="Arial"/>
          <w:sz w:val="24"/>
          <w:szCs w:val="24"/>
        </w:rPr>
        <w:t>Care</w:t>
      </w:r>
      <w:proofErr w:type="spellEnd"/>
      <w:r w:rsidRPr="001C1D6C">
        <w:rPr>
          <w:rFonts w:ascii="Arial" w:hAnsi="Arial" w:cs="Arial"/>
          <w:sz w:val="24"/>
          <w:szCs w:val="24"/>
        </w:rPr>
        <w:t>. 2010; 33:1549-54.</w:t>
      </w:r>
    </w:p>
    <w:p w:rsidR="00210DC6" w:rsidRPr="001C1D6C" w:rsidRDefault="00210DC6" w:rsidP="00210DC6">
      <w:pPr>
        <w:numPr>
          <w:ilvl w:val="0"/>
          <w:numId w:val="42"/>
        </w:numPr>
        <w:spacing w:after="0" w:line="480" w:lineRule="auto"/>
        <w:jc w:val="both"/>
        <w:rPr>
          <w:rFonts w:ascii="Arial" w:hAnsi="Arial" w:cs="Arial"/>
          <w:sz w:val="24"/>
          <w:szCs w:val="24"/>
        </w:rPr>
      </w:pPr>
      <w:proofErr w:type="spellStart"/>
      <w:r w:rsidRPr="001C1D6C">
        <w:rPr>
          <w:rFonts w:ascii="Arial" w:hAnsi="Arial" w:cs="Arial"/>
          <w:sz w:val="24"/>
          <w:szCs w:val="24"/>
          <w:lang w:val="es-CO"/>
        </w:rPr>
        <w:lastRenderedPageBreak/>
        <w:t>Ng</w:t>
      </w:r>
      <w:proofErr w:type="spellEnd"/>
      <w:r w:rsidRPr="001C1D6C">
        <w:rPr>
          <w:rFonts w:ascii="Arial" w:hAnsi="Arial" w:cs="Arial"/>
          <w:sz w:val="24"/>
          <w:szCs w:val="24"/>
          <w:lang w:val="es-CO"/>
        </w:rPr>
        <w:t xml:space="preserve"> El, </w:t>
      </w:r>
      <w:proofErr w:type="spellStart"/>
      <w:r w:rsidRPr="001C1D6C">
        <w:rPr>
          <w:rFonts w:ascii="Arial" w:hAnsi="Arial" w:cs="Arial"/>
          <w:sz w:val="24"/>
          <w:szCs w:val="24"/>
          <w:lang w:val="es-CO"/>
        </w:rPr>
        <w:t>Thein</w:t>
      </w:r>
      <w:proofErr w:type="spellEnd"/>
      <w:r w:rsidRPr="001C1D6C">
        <w:rPr>
          <w:rFonts w:ascii="Arial" w:hAnsi="Arial" w:cs="Arial"/>
          <w:sz w:val="24"/>
          <w:szCs w:val="24"/>
          <w:lang w:val="es-CO"/>
        </w:rPr>
        <w:t xml:space="preserve"> TL, Hao Y, Lee L, </w:t>
      </w:r>
      <w:proofErr w:type="spellStart"/>
      <w:r w:rsidRPr="001C1D6C">
        <w:rPr>
          <w:rFonts w:ascii="Arial" w:hAnsi="Arial" w:cs="Arial"/>
          <w:sz w:val="24"/>
          <w:szCs w:val="24"/>
          <w:lang w:val="es-CO"/>
        </w:rPr>
        <w:t>Lye</w:t>
      </w:r>
      <w:proofErr w:type="spellEnd"/>
      <w:r w:rsidRPr="001C1D6C">
        <w:rPr>
          <w:rFonts w:ascii="Arial" w:hAnsi="Arial" w:cs="Arial"/>
          <w:sz w:val="24"/>
          <w:szCs w:val="24"/>
          <w:lang w:val="es-CO"/>
        </w:rPr>
        <w:t xml:space="preserve"> D, Leo YS. </w:t>
      </w:r>
      <w:r w:rsidRPr="001C1D6C">
        <w:rPr>
          <w:rFonts w:ascii="Arial" w:hAnsi="Arial" w:cs="Arial"/>
          <w:sz w:val="24"/>
          <w:szCs w:val="24"/>
          <w:lang w:val="en-US"/>
        </w:rPr>
        <w:t xml:space="preserve">Vital signs in elderly dengue patients: Trends of blood pressure and pulse rate. </w:t>
      </w:r>
      <w:r w:rsidRPr="001C1D6C">
        <w:rPr>
          <w:rFonts w:ascii="Arial" w:hAnsi="Arial" w:cs="Arial"/>
          <w:sz w:val="24"/>
          <w:szCs w:val="24"/>
        </w:rPr>
        <w:t xml:space="preserve">International Journal of </w:t>
      </w:r>
      <w:proofErr w:type="spellStart"/>
      <w:r w:rsidRPr="001C1D6C">
        <w:rPr>
          <w:rFonts w:ascii="Arial" w:hAnsi="Arial" w:cs="Arial"/>
          <w:sz w:val="24"/>
          <w:szCs w:val="24"/>
        </w:rPr>
        <w:t>Infectious</w:t>
      </w:r>
      <w:proofErr w:type="spellEnd"/>
      <w:r w:rsidRPr="001C1D6C">
        <w:rPr>
          <w:rFonts w:ascii="Arial" w:hAnsi="Arial" w:cs="Arial"/>
          <w:sz w:val="24"/>
          <w:szCs w:val="24"/>
        </w:rPr>
        <w:t xml:space="preserve"> </w:t>
      </w:r>
      <w:proofErr w:type="spellStart"/>
      <w:r w:rsidRPr="001C1D6C">
        <w:rPr>
          <w:rFonts w:ascii="Arial" w:hAnsi="Arial" w:cs="Arial"/>
          <w:sz w:val="24"/>
          <w:szCs w:val="24"/>
        </w:rPr>
        <w:t>Diseases</w:t>
      </w:r>
      <w:proofErr w:type="spellEnd"/>
      <w:r w:rsidRPr="001C1D6C">
        <w:rPr>
          <w:rFonts w:ascii="Arial" w:hAnsi="Arial" w:cs="Arial"/>
          <w:sz w:val="24"/>
          <w:szCs w:val="24"/>
        </w:rPr>
        <w:t>. 2014; 21, 447.</w:t>
      </w:r>
    </w:p>
    <w:p w:rsidR="00210DC6" w:rsidRPr="001C1D6C" w:rsidRDefault="00210DC6" w:rsidP="00210DC6">
      <w:pPr>
        <w:numPr>
          <w:ilvl w:val="0"/>
          <w:numId w:val="42"/>
        </w:numPr>
        <w:spacing w:after="0" w:line="480" w:lineRule="auto"/>
        <w:jc w:val="both"/>
        <w:rPr>
          <w:rFonts w:ascii="Arial" w:hAnsi="Arial" w:cs="Arial"/>
          <w:sz w:val="24"/>
          <w:szCs w:val="24"/>
          <w:lang w:val="en-US"/>
        </w:rPr>
      </w:pPr>
      <w:r w:rsidRPr="001C1D6C">
        <w:rPr>
          <w:rFonts w:ascii="Arial" w:hAnsi="Arial" w:cs="Arial"/>
          <w:sz w:val="24"/>
          <w:szCs w:val="24"/>
          <w:lang w:val="en-US"/>
        </w:rPr>
        <w:t xml:space="preserve">Van </w:t>
      </w:r>
      <w:proofErr w:type="spellStart"/>
      <w:r w:rsidRPr="001C1D6C">
        <w:rPr>
          <w:rFonts w:ascii="Arial" w:hAnsi="Arial" w:cs="Arial"/>
          <w:sz w:val="24"/>
          <w:szCs w:val="24"/>
          <w:lang w:val="en-US"/>
        </w:rPr>
        <w:t>Wijnen</w:t>
      </w:r>
      <w:proofErr w:type="spellEnd"/>
      <w:r w:rsidRPr="001C1D6C">
        <w:rPr>
          <w:rFonts w:ascii="Arial" w:hAnsi="Arial" w:cs="Arial"/>
          <w:sz w:val="24"/>
          <w:szCs w:val="24"/>
          <w:lang w:val="en-US"/>
        </w:rPr>
        <w:t xml:space="preserve"> VK, Harms MPM, Go-</w:t>
      </w:r>
      <w:proofErr w:type="spellStart"/>
      <w:r w:rsidRPr="001C1D6C">
        <w:rPr>
          <w:rFonts w:ascii="Arial" w:hAnsi="Arial" w:cs="Arial"/>
          <w:sz w:val="24"/>
          <w:szCs w:val="24"/>
          <w:lang w:val="en-US"/>
        </w:rPr>
        <w:t>Schön</w:t>
      </w:r>
      <w:proofErr w:type="spellEnd"/>
      <w:r w:rsidRPr="001C1D6C">
        <w:rPr>
          <w:rFonts w:ascii="Arial" w:hAnsi="Arial" w:cs="Arial"/>
          <w:sz w:val="24"/>
          <w:szCs w:val="24"/>
          <w:lang w:val="en-US"/>
        </w:rPr>
        <w:t xml:space="preserve"> IK, </w:t>
      </w:r>
      <w:proofErr w:type="spellStart"/>
      <w:r w:rsidRPr="001C1D6C">
        <w:rPr>
          <w:rFonts w:ascii="Arial" w:hAnsi="Arial" w:cs="Arial"/>
          <w:sz w:val="24"/>
          <w:szCs w:val="24"/>
          <w:lang w:val="en-US"/>
        </w:rPr>
        <w:t>Westerhof</w:t>
      </w:r>
      <w:proofErr w:type="spellEnd"/>
      <w:r w:rsidRPr="001C1D6C">
        <w:rPr>
          <w:rFonts w:ascii="Arial" w:hAnsi="Arial" w:cs="Arial"/>
          <w:sz w:val="24"/>
          <w:szCs w:val="24"/>
          <w:lang w:val="en-US"/>
        </w:rPr>
        <w:t xml:space="preserve"> BE, </w:t>
      </w:r>
      <w:proofErr w:type="spellStart"/>
      <w:r w:rsidRPr="001C1D6C">
        <w:rPr>
          <w:rFonts w:ascii="Arial" w:hAnsi="Arial" w:cs="Arial"/>
          <w:sz w:val="24"/>
          <w:szCs w:val="24"/>
          <w:lang w:val="en-US"/>
        </w:rPr>
        <w:t>Krediet</w:t>
      </w:r>
      <w:proofErr w:type="spellEnd"/>
      <w:r w:rsidRPr="001C1D6C">
        <w:rPr>
          <w:rFonts w:ascii="Arial" w:hAnsi="Arial" w:cs="Arial"/>
          <w:sz w:val="24"/>
          <w:szCs w:val="24"/>
          <w:lang w:val="en-US"/>
        </w:rPr>
        <w:t xml:space="preserve"> CTP, Stewart J, et al. Initial orthostatic hypotension in teenagers and young adults. Clinical Autonomic Research. 2016; 26(6):441-9.</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Bouhanick</w:t>
      </w:r>
      <w:proofErr w:type="spellEnd"/>
      <w:r w:rsidRPr="001C1D6C">
        <w:rPr>
          <w:rFonts w:ascii="Arial" w:hAnsi="Arial" w:cs="Arial"/>
          <w:sz w:val="24"/>
          <w:szCs w:val="24"/>
          <w:lang w:val="en-US"/>
        </w:rPr>
        <w:t xml:space="preserve"> B, </w:t>
      </w:r>
      <w:proofErr w:type="spellStart"/>
      <w:r w:rsidRPr="001C1D6C">
        <w:rPr>
          <w:rFonts w:ascii="Arial" w:hAnsi="Arial" w:cs="Arial"/>
          <w:sz w:val="24"/>
          <w:szCs w:val="24"/>
          <w:lang w:val="en-US"/>
        </w:rPr>
        <w:t>Meliani</w:t>
      </w:r>
      <w:proofErr w:type="spellEnd"/>
      <w:r w:rsidRPr="001C1D6C">
        <w:rPr>
          <w:rFonts w:ascii="Arial" w:hAnsi="Arial" w:cs="Arial"/>
          <w:sz w:val="24"/>
          <w:szCs w:val="24"/>
          <w:lang w:val="en-US"/>
        </w:rPr>
        <w:t xml:space="preserve"> S, </w:t>
      </w:r>
      <w:proofErr w:type="spellStart"/>
      <w:r w:rsidRPr="001C1D6C">
        <w:rPr>
          <w:rFonts w:ascii="Arial" w:hAnsi="Arial" w:cs="Arial"/>
          <w:sz w:val="24"/>
          <w:szCs w:val="24"/>
          <w:lang w:val="en-US"/>
        </w:rPr>
        <w:t>Doucet</w:t>
      </w:r>
      <w:proofErr w:type="spellEnd"/>
      <w:r w:rsidRPr="001C1D6C">
        <w:rPr>
          <w:rFonts w:ascii="Arial" w:hAnsi="Arial" w:cs="Arial"/>
          <w:sz w:val="24"/>
          <w:szCs w:val="24"/>
          <w:lang w:val="en-US"/>
        </w:rPr>
        <w:t xml:space="preserve"> J, </w:t>
      </w:r>
      <w:proofErr w:type="spellStart"/>
      <w:r w:rsidRPr="001C1D6C">
        <w:rPr>
          <w:rFonts w:ascii="Arial" w:hAnsi="Arial" w:cs="Arial"/>
          <w:sz w:val="24"/>
          <w:szCs w:val="24"/>
          <w:lang w:val="en-US"/>
        </w:rPr>
        <w:t>Bauduceau</w:t>
      </w:r>
      <w:proofErr w:type="spellEnd"/>
      <w:r w:rsidRPr="001C1D6C">
        <w:rPr>
          <w:rFonts w:ascii="Arial" w:hAnsi="Arial" w:cs="Arial"/>
          <w:sz w:val="24"/>
          <w:szCs w:val="24"/>
          <w:lang w:val="en-US"/>
        </w:rPr>
        <w:t xml:space="preserve"> B, </w:t>
      </w:r>
      <w:proofErr w:type="spellStart"/>
      <w:r w:rsidRPr="001C1D6C">
        <w:rPr>
          <w:rFonts w:ascii="Arial" w:hAnsi="Arial" w:cs="Arial"/>
          <w:sz w:val="24"/>
          <w:szCs w:val="24"/>
          <w:lang w:val="en-US"/>
        </w:rPr>
        <w:t>Verny</w:t>
      </w:r>
      <w:proofErr w:type="spellEnd"/>
      <w:r w:rsidRPr="001C1D6C">
        <w:rPr>
          <w:rFonts w:ascii="Arial" w:hAnsi="Arial" w:cs="Arial"/>
          <w:sz w:val="24"/>
          <w:szCs w:val="24"/>
          <w:lang w:val="en-US"/>
        </w:rPr>
        <w:t xml:space="preserve"> C, </w:t>
      </w:r>
      <w:proofErr w:type="spellStart"/>
      <w:r w:rsidRPr="001C1D6C">
        <w:rPr>
          <w:rFonts w:ascii="Arial" w:hAnsi="Arial" w:cs="Arial"/>
          <w:sz w:val="24"/>
          <w:szCs w:val="24"/>
          <w:lang w:val="en-US"/>
        </w:rPr>
        <w:t>Chamontin</w:t>
      </w:r>
      <w:proofErr w:type="spellEnd"/>
      <w:r w:rsidRPr="001C1D6C">
        <w:rPr>
          <w:rFonts w:ascii="Arial" w:hAnsi="Arial" w:cs="Arial"/>
          <w:sz w:val="24"/>
          <w:szCs w:val="24"/>
          <w:lang w:val="en-US"/>
        </w:rPr>
        <w:t xml:space="preserve"> B, et al. Orthostatic hypotension is associated with more severe hypertension in elderly autonomous diabetic patients from the French </w:t>
      </w:r>
      <w:proofErr w:type="spellStart"/>
      <w:r w:rsidRPr="001C1D6C">
        <w:rPr>
          <w:rFonts w:ascii="Arial" w:hAnsi="Arial" w:cs="Arial"/>
          <w:sz w:val="24"/>
          <w:szCs w:val="24"/>
          <w:lang w:val="en-US"/>
        </w:rPr>
        <w:t>Gerodiab</w:t>
      </w:r>
      <w:proofErr w:type="spellEnd"/>
      <w:r w:rsidRPr="001C1D6C">
        <w:rPr>
          <w:rFonts w:ascii="Arial" w:hAnsi="Arial" w:cs="Arial"/>
          <w:sz w:val="24"/>
          <w:szCs w:val="24"/>
          <w:lang w:val="en-US"/>
        </w:rPr>
        <w:t xml:space="preserve"> study at inclusion. Ann </w:t>
      </w:r>
      <w:proofErr w:type="spellStart"/>
      <w:r w:rsidRPr="001C1D6C">
        <w:rPr>
          <w:rFonts w:ascii="Arial" w:hAnsi="Arial" w:cs="Arial"/>
          <w:sz w:val="24"/>
          <w:szCs w:val="24"/>
          <w:lang w:val="en-US"/>
        </w:rPr>
        <w:t>Cardiol</w:t>
      </w:r>
      <w:proofErr w:type="spellEnd"/>
      <w:r w:rsidRPr="001C1D6C">
        <w:rPr>
          <w:rFonts w:ascii="Arial" w:hAnsi="Arial" w:cs="Arial"/>
          <w:sz w:val="24"/>
          <w:szCs w:val="24"/>
          <w:lang w:val="en-US"/>
        </w:rPr>
        <w:t xml:space="preserve"> </w:t>
      </w:r>
      <w:proofErr w:type="spellStart"/>
      <w:r w:rsidRPr="001C1D6C">
        <w:rPr>
          <w:rFonts w:ascii="Arial" w:hAnsi="Arial" w:cs="Arial"/>
          <w:sz w:val="24"/>
          <w:szCs w:val="24"/>
          <w:lang w:val="en-US"/>
        </w:rPr>
        <w:t>Angeiol</w:t>
      </w:r>
      <w:proofErr w:type="spellEnd"/>
      <w:r w:rsidRPr="001C1D6C">
        <w:rPr>
          <w:rFonts w:ascii="Arial" w:hAnsi="Arial" w:cs="Arial"/>
          <w:sz w:val="24"/>
          <w:szCs w:val="24"/>
          <w:lang w:val="en-US"/>
        </w:rPr>
        <w:t xml:space="preserve"> (Paris). 2014; 63:176-82.</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Fagard</w:t>
      </w:r>
      <w:proofErr w:type="spellEnd"/>
      <w:r w:rsidRPr="001C1D6C">
        <w:rPr>
          <w:rFonts w:ascii="Arial" w:hAnsi="Arial" w:cs="Arial"/>
          <w:sz w:val="24"/>
          <w:szCs w:val="24"/>
          <w:lang w:val="en-US"/>
        </w:rPr>
        <w:t xml:space="preserve"> R, De </w:t>
      </w:r>
      <w:proofErr w:type="spellStart"/>
      <w:r w:rsidRPr="001C1D6C">
        <w:rPr>
          <w:rFonts w:ascii="Arial" w:hAnsi="Arial" w:cs="Arial"/>
          <w:sz w:val="24"/>
          <w:szCs w:val="24"/>
          <w:lang w:val="en-US"/>
        </w:rPr>
        <w:t>cort</w:t>
      </w:r>
      <w:proofErr w:type="spellEnd"/>
      <w:r w:rsidRPr="001C1D6C">
        <w:rPr>
          <w:rFonts w:ascii="Arial" w:hAnsi="Arial" w:cs="Arial"/>
          <w:sz w:val="24"/>
          <w:szCs w:val="24"/>
          <w:lang w:val="en-US"/>
        </w:rPr>
        <w:t xml:space="preserve"> P. Orthostatic hypotension is a more robust predictor of cardiovascular events than nighttime reverse dipping in elderly. Hypertension. 2010; 56:56-61</w:t>
      </w:r>
    </w:p>
    <w:p w:rsidR="00210DC6" w:rsidRPr="001C1D6C" w:rsidRDefault="00210DC6" w:rsidP="00210DC6">
      <w:pPr>
        <w:numPr>
          <w:ilvl w:val="0"/>
          <w:numId w:val="42"/>
        </w:numPr>
        <w:spacing w:after="0" w:line="480" w:lineRule="auto"/>
        <w:jc w:val="both"/>
        <w:rPr>
          <w:rFonts w:ascii="Arial" w:hAnsi="Arial" w:cs="Arial"/>
          <w:sz w:val="24"/>
          <w:szCs w:val="24"/>
          <w:lang w:val="es-ES"/>
        </w:rPr>
      </w:pPr>
      <w:proofErr w:type="spellStart"/>
      <w:r w:rsidRPr="001C1D6C">
        <w:rPr>
          <w:rFonts w:ascii="Arial" w:hAnsi="Arial" w:cs="Arial"/>
          <w:sz w:val="24"/>
          <w:szCs w:val="24"/>
          <w:lang w:val="en-US"/>
        </w:rPr>
        <w:t>Jian</w:t>
      </w:r>
      <w:proofErr w:type="spellEnd"/>
      <w:r w:rsidRPr="001C1D6C">
        <w:rPr>
          <w:rFonts w:ascii="Arial" w:hAnsi="Arial" w:cs="Arial"/>
          <w:sz w:val="24"/>
          <w:szCs w:val="24"/>
          <w:lang w:val="en-US"/>
        </w:rPr>
        <w:t xml:space="preserve"> L, </w:t>
      </w:r>
      <w:proofErr w:type="spellStart"/>
      <w:r w:rsidRPr="001C1D6C">
        <w:rPr>
          <w:rFonts w:ascii="Arial" w:hAnsi="Arial" w:cs="Arial"/>
          <w:sz w:val="24"/>
          <w:szCs w:val="24"/>
          <w:lang w:val="en-US"/>
        </w:rPr>
        <w:t>Niu</w:t>
      </w:r>
      <w:proofErr w:type="spellEnd"/>
      <w:r w:rsidRPr="001C1D6C">
        <w:rPr>
          <w:rFonts w:ascii="Arial" w:hAnsi="Arial" w:cs="Arial"/>
          <w:sz w:val="24"/>
          <w:szCs w:val="24"/>
          <w:lang w:val="en-US"/>
        </w:rPr>
        <w:t xml:space="preserve"> S, Ding T, Sun L, Liu S, </w:t>
      </w:r>
      <w:proofErr w:type="spellStart"/>
      <w:r w:rsidRPr="001C1D6C">
        <w:rPr>
          <w:rFonts w:ascii="Arial" w:hAnsi="Arial" w:cs="Arial"/>
          <w:sz w:val="24"/>
          <w:szCs w:val="24"/>
          <w:lang w:val="en-US"/>
        </w:rPr>
        <w:t>Xianen</w:t>
      </w:r>
      <w:proofErr w:type="spellEnd"/>
      <w:r w:rsidRPr="001C1D6C">
        <w:rPr>
          <w:rFonts w:ascii="Arial" w:hAnsi="Arial" w:cs="Arial"/>
          <w:sz w:val="24"/>
          <w:szCs w:val="24"/>
          <w:lang w:val="en-US"/>
        </w:rPr>
        <w:t xml:space="preserve"> FA. The relationship between orthostatic hypotension and the risk of myocardial infarction in the elderly. </w:t>
      </w:r>
      <w:proofErr w:type="spellStart"/>
      <w:r w:rsidRPr="001C1D6C">
        <w:rPr>
          <w:rFonts w:ascii="Arial" w:hAnsi="Arial" w:cs="Arial"/>
          <w:sz w:val="24"/>
          <w:szCs w:val="24"/>
          <w:lang w:val="es-ES"/>
        </w:rPr>
        <w:t>Chinese</w:t>
      </w:r>
      <w:proofErr w:type="spellEnd"/>
      <w:r w:rsidRPr="001C1D6C">
        <w:rPr>
          <w:rFonts w:ascii="Arial" w:hAnsi="Arial" w:cs="Arial"/>
          <w:sz w:val="24"/>
          <w:szCs w:val="24"/>
          <w:lang w:val="es-ES"/>
        </w:rPr>
        <w:t xml:space="preserve"> Journal of </w:t>
      </w:r>
      <w:proofErr w:type="spellStart"/>
      <w:r w:rsidRPr="001C1D6C">
        <w:rPr>
          <w:rFonts w:ascii="Arial" w:hAnsi="Arial" w:cs="Arial"/>
          <w:sz w:val="24"/>
          <w:szCs w:val="24"/>
          <w:lang w:val="es-ES"/>
        </w:rPr>
        <w:t>Geriatrics</w:t>
      </w:r>
      <w:proofErr w:type="spellEnd"/>
      <w:r w:rsidRPr="001C1D6C">
        <w:rPr>
          <w:rFonts w:ascii="Arial" w:hAnsi="Arial" w:cs="Arial"/>
          <w:sz w:val="24"/>
          <w:szCs w:val="24"/>
          <w:lang w:val="es-ES"/>
        </w:rPr>
        <w:t>. 2017; 36(5):487-91</w:t>
      </w:r>
    </w:p>
    <w:p w:rsidR="00210DC6" w:rsidRPr="001C1D6C" w:rsidRDefault="00210DC6" w:rsidP="00210DC6">
      <w:pPr>
        <w:numPr>
          <w:ilvl w:val="0"/>
          <w:numId w:val="42"/>
        </w:numPr>
        <w:spacing w:after="0" w:line="480" w:lineRule="auto"/>
        <w:jc w:val="both"/>
        <w:rPr>
          <w:rFonts w:ascii="Arial" w:hAnsi="Arial" w:cs="Arial"/>
          <w:sz w:val="24"/>
          <w:szCs w:val="24"/>
          <w:lang w:val="es-ES"/>
        </w:rPr>
      </w:pPr>
      <w:r w:rsidRPr="001C1D6C">
        <w:rPr>
          <w:rFonts w:ascii="Arial" w:hAnsi="Arial" w:cs="Arial"/>
          <w:sz w:val="24"/>
          <w:szCs w:val="24"/>
          <w:lang w:val="es-ES"/>
        </w:rPr>
        <w:t xml:space="preserve">Martínez Juárez M. “Características Clínicas Epidemiológicas del Dengue en pacientes atendidos en la unidad de Medicina Familiar No 61 de Veracruz” [tesis Post Grado de Especialidad]. Instituto Mexicano del Seguro Social: Universidad Veracruzana; Febrero 2014. Disponible en: </w:t>
      </w:r>
      <w:hyperlink r:id="rId10" w:history="1">
        <w:r w:rsidRPr="001C1D6C">
          <w:rPr>
            <w:rStyle w:val="Hipervnculo"/>
            <w:rFonts w:ascii="Arial" w:hAnsi="Arial" w:cs="Arial"/>
            <w:color w:val="auto"/>
            <w:sz w:val="24"/>
            <w:szCs w:val="24"/>
            <w:lang w:val="es-ES"/>
          </w:rPr>
          <w:t>http://www.uv.mx/blogs/favem2014</w:t>
        </w:r>
      </w:hyperlink>
      <w:r w:rsidRPr="001C1D6C">
        <w:rPr>
          <w:rFonts w:ascii="Arial" w:hAnsi="Arial" w:cs="Arial"/>
          <w:sz w:val="24"/>
          <w:szCs w:val="24"/>
          <w:lang w:val="es-ES"/>
        </w:rPr>
        <w:t>/ files/2014/06/Miguel.pdf</w:t>
      </w:r>
    </w:p>
    <w:p w:rsidR="00210DC6" w:rsidRPr="001C1D6C" w:rsidRDefault="00210DC6" w:rsidP="00210DC6">
      <w:pPr>
        <w:numPr>
          <w:ilvl w:val="0"/>
          <w:numId w:val="42"/>
        </w:numPr>
        <w:spacing w:after="0" w:line="480" w:lineRule="auto"/>
        <w:jc w:val="both"/>
        <w:rPr>
          <w:rFonts w:ascii="Arial" w:hAnsi="Arial" w:cs="Arial"/>
          <w:sz w:val="24"/>
          <w:szCs w:val="24"/>
          <w:lang w:val="es-ES"/>
        </w:rPr>
      </w:pPr>
      <w:r w:rsidRPr="001C1D6C">
        <w:rPr>
          <w:rFonts w:ascii="Arial" w:hAnsi="Arial" w:cs="Arial"/>
          <w:sz w:val="24"/>
          <w:szCs w:val="24"/>
          <w:lang w:val="es-ES"/>
        </w:rPr>
        <w:t xml:space="preserve">Real J, </w:t>
      </w:r>
      <w:proofErr w:type="spellStart"/>
      <w:r w:rsidRPr="001C1D6C">
        <w:rPr>
          <w:rFonts w:ascii="Arial" w:hAnsi="Arial" w:cs="Arial"/>
          <w:sz w:val="24"/>
          <w:szCs w:val="24"/>
          <w:lang w:val="es-ES"/>
        </w:rPr>
        <w:t>Cotto</w:t>
      </w:r>
      <w:proofErr w:type="spellEnd"/>
      <w:r w:rsidRPr="001C1D6C">
        <w:rPr>
          <w:rFonts w:ascii="Arial" w:hAnsi="Arial" w:cs="Arial"/>
          <w:sz w:val="24"/>
          <w:szCs w:val="24"/>
          <w:lang w:val="es-ES"/>
        </w:rPr>
        <w:t xml:space="preserve"> JJ, Ronceros SG, Gómez MD, </w:t>
      </w:r>
      <w:proofErr w:type="spellStart"/>
      <w:r w:rsidRPr="001C1D6C">
        <w:rPr>
          <w:rFonts w:ascii="Arial" w:hAnsi="Arial" w:cs="Arial"/>
          <w:sz w:val="24"/>
          <w:szCs w:val="24"/>
          <w:lang w:val="es-ES"/>
        </w:rPr>
        <w:t>Roby</w:t>
      </w:r>
      <w:proofErr w:type="spellEnd"/>
      <w:r w:rsidRPr="001C1D6C">
        <w:rPr>
          <w:rFonts w:ascii="Arial" w:hAnsi="Arial" w:cs="Arial"/>
          <w:sz w:val="24"/>
          <w:szCs w:val="24"/>
          <w:lang w:val="es-ES"/>
        </w:rPr>
        <w:t xml:space="preserve"> AJ, Ordoñez JM. Caracterización clínica del dengue con signos de alarma y grave, en hospitales de Guayaquil. Revista científica INSPILIP V. 2017; 1(1).</w:t>
      </w:r>
    </w:p>
    <w:p w:rsidR="00210DC6" w:rsidRPr="001C1D6C" w:rsidRDefault="00210DC6" w:rsidP="00210DC6">
      <w:pPr>
        <w:numPr>
          <w:ilvl w:val="0"/>
          <w:numId w:val="42"/>
        </w:numPr>
        <w:spacing w:after="0" w:line="480" w:lineRule="auto"/>
        <w:jc w:val="both"/>
        <w:rPr>
          <w:rFonts w:ascii="Arial" w:hAnsi="Arial" w:cs="Arial"/>
          <w:sz w:val="24"/>
          <w:szCs w:val="24"/>
          <w:lang w:val="es-ES"/>
        </w:rPr>
      </w:pPr>
      <w:proofErr w:type="spellStart"/>
      <w:r w:rsidRPr="001C1D6C">
        <w:rPr>
          <w:rFonts w:ascii="Arial" w:hAnsi="Arial" w:cs="Arial"/>
          <w:sz w:val="24"/>
          <w:szCs w:val="24"/>
          <w:lang w:val="en-US"/>
        </w:rPr>
        <w:lastRenderedPageBreak/>
        <w:t>Meneses</w:t>
      </w:r>
      <w:proofErr w:type="spellEnd"/>
      <w:r w:rsidRPr="001C1D6C">
        <w:rPr>
          <w:rFonts w:ascii="Arial" w:hAnsi="Arial" w:cs="Arial"/>
          <w:sz w:val="24"/>
          <w:szCs w:val="24"/>
          <w:lang w:val="en-US"/>
        </w:rPr>
        <w:t xml:space="preserve"> </w:t>
      </w:r>
      <w:proofErr w:type="spellStart"/>
      <w:r w:rsidRPr="001C1D6C">
        <w:rPr>
          <w:rFonts w:ascii="Arial" w:hAnsi="Arial" w:cs="Arial"/>
          <w:sz w:val="24"/>
          <w:szCs w:val="24"/>
          <w:lang w:val="en-US"/>
        </w:rPr>
        <w:t>Liendo</w:t>
      </w:r>
      <w:proofErr w:type="spellEnd"/>
      <w:r w:rsidRPr="001C1D6C">
        <w:rPr>
          <w:rFonts w:ascii="Arial" w:hAnsi="Arial" w:cs="Arial"/>
          <w:sz w:val="24"/>
          <w:szCs w:val="24"/>
          <w:lang w:val="en-US"/>
        </w:rPr>
        <w:t xml:space="preserve"> VH. Dengue in critically ill patients. Intensive care unit. Hospital of Pucallpa. </w:t>
      </w:r>
      <w:proofErr w:type="spellStart"/>
      <w:r w:rsidRPr="001C1D6C">
        <w:rPr>
          <w:rFonts w:ascii="Arial" w:hAnsi="Arial" w:cs="Arial"/>
          <w:sz w:val="24"/>
          <w:szCs w:val="24"/>
        </w:rPr>
        <w:t>Rev</w:t>
      </w:r>
      <w:proofErr w:type="spellEnd"/>
      <w:r w:rsidRPr="001C1D6C">
        <w:rPr>
          <w:rFonts w:ascii="Arial" w:hAnsi="Arial" w:cs="Arial"/>
          <w:sz w:val="24"/>
          <w:szCs w:val="24"/>
        </w:rPr>
        <w:t xml:space="preserve"> </w:t>
      </w:r>
      <w:proofErr w:type="spellStart"/>
      <w:r w:rsidRPr="001C1D6C">
        <w:rPr>
          <w:rFonts w:ascii="Arial" w:hAnsi="Arial" w:cs="Arial"/>
          <w:sz w:val="24"/>
          <w:szCs w:val="24"/>
        </w:rPr>
        <w:t>Fac</w:t>
      </w:r>
      <w:proofErr w:type="spellEnd"/>
      <w:r w:rsidRPr="001C1D6C">
        <w:rPr>
          <w:rFonts w:ascii="Arial" w:hAnsi="Arial" w:cs="Arial"/>
          <w:sz w:val="24"/>
          <w:szCs w:val="24"/>
        </w:rPr>
        <w:t xml:space="preserve"> </w:t>
      </w:r>
      <w:proofErr w:type="spellStart"/>
      <w:r w:rsidRPr="001C1D6C">
        <w:rPr>
          <w:rFonts w:ascii="Arial" w:hAnsi="Arial" w:cs="Arial"/>
          <w:sz w:val="24"/>
          <w:szCs w:val="24"/>
        </w:rPr>
        <w:t>Med</w:t>
      </w:r>
      <w:proofErr w:type="spellEnd"/>
      <w:r w:rsidRPr="001C1D6C">
        <w:rPr>
          <w:rFonts w:ascii="Arial" w:hAnsi="Arial" w:cs="Arial"/>
          <w:sz w:val="24"/>
          <w:szCs w:val="24"/>
        </w:rPr>
        <w:t xml:space="preserve"> </w:t>
      </w:r>
      <w:proofErr w:type="spellStart"/>
      <w:r w:rsidRPr="001C1D6C">
        <w:rPr>
          <w:rFonts w:ascii="Arial" w:hAnsi="Arial" w:cs="Arial"/>
          <w:sz w:val="24"/>
          <w:szCs w:val="24"/>
        </w:rPr>
        <w:t>Hum</w:t>
      </w:r>
      <w:proofErr w:type="spellEnd"/>
      <w:r w:rsidRPr="001C1D6C">
        <w:rPr>
          <w:rFonts w:ascii="Arial" w:hAnsi="Arial" w:cs="Arial"/>
          <w:sz w:val="24"/>
          <w:szCs w:val="24"/>
        </w:rPr>
        <w:t xml:space="preserve"> </w:t>
      </w:r>
      <w:proofErr w:type="spellStart"/>
      <w:r w:rsidRPr="001C1D6C">
        <w:rPr>
          <w:rFonts w:ascii="Arial" w:hAnsi="Arial" w:cs="Arial"/>
          <w:sz w:val="24"/>
          <w:szCs w:val="24"/>
        </w:rPr>
        <w:t>Univ</w:t>
      </w:r>
      <w:proofErr w:type="spellEnd"/>
      <w:r w:rsidRPr="001C1D6C">
        <w:rPr>
          <w:rFonts w:ascii="Arial" w:hAnsi="Arial" w:cs="Arial"/>
          <w:sz w:val="24"/>
          <w:szCs w:val="24"/>
        </w:rPr>
        <w:t xml:space="preserve"> Ricardo</w:t>
      </w:r>
      <w:r w:rsidRPr="001C1D6C">
        <w:rPr>
          <w:rFonts w:ascii="Arial" w:hAnsi="Arial" w:cs="Arial"/>
          <w:sz w:val="24"/>
          <w:szCs w:val="24"/>
          <w:lang w:val="es-ES"/>
        </w:rPr>
        <w:t xml:space="preserve"> Palma. 2013; 13(1):3-6.</w:t>
      </w:r>
    </w:p>
    <w:p w:rsidR="00210DC6" w:rsidRPr="001C1D6C" w:rsidRDefault="00210DC6" w:rsidP="00210DC6">
      <w:pPr>
        <w:numPr>
          <w:ilvl w:val="0"/>
          <w:numId w:val="42"/>
        </w:numPr>
        <w:spacing w:after="0" w:line="480" w:lineRule="auto"/>
        <w:jc w:val="both"/>
        <w:rPr>
          <w:rFonts w:ascii="Arial" w:hAnsi="Arial" w:cs="Arial"/>
          <w:sz w:val="24"/>
          <w:szCs w:val="24"/>
          <w:lang w:val="es-ES"/>
        </w:rPr>
      </w:pPr>
      <w:r w:rsidRPr="001C1D6C">
        <w:rPr>
          <w:rFonts w:ascii="Arial" w:hAnsi="Arial" w:cs="Arial"/>
          <w:sz w:val="24"/>
          <w:szCs w:val="24"/>
          <w:lang w:val="pt-BR"/>
        </w:rPr>
        <w:t xml:space="preserve">Moraes GH, de Fátima Duarte E, Duarte EC. </w:t>
      </w:r>
      <w:r w:rsidRPr="001C1D6C">
        <w:rPr>
          <w:rFonts w:ascii="Arial" w:hAnsi="Arial" w:cs="Arial"/>
          <w:sz w:val="24"/>
          <w:szCs w:val="24"/>
          <w:lang w:val="en-US"/>
        </w:rPr>
        <w:t xml:space="preserve">Determinants of mortality from severe dengue in Brazil: a population-based case control study. </w:t>
      </w:r>
      <w:r w:rsidRPr="001C1D6C">
        <w:rPr>
          <w:rFonts w:ascii="Arial" w:hAnsi="Arial" w:cs="Arial"/>
          <w:sz w:val="24"/>
          <w:szCs w:val="24"/>
        </w:rPr>
        <w:t xml:space="preserve">Am J </w:t>
      </w:r>
      <w:proofErr w:type="spellStart"/>
      <w:r w:rsidRPr="001C1D6C">
        <w:rPr>
          <w:rFonts w:ascii="Arial" w:hAnsi="Arial" w:cs="Arial"/>
          <w:sz w:val="24"/>
          <w:szCs w:val="24"/>
        </w:rPr>
        <w:t>Trop</w:t>
      </w:r>
      <w:proofErr w:type="spellEnd"/>
      <w:r w:rsidRPr="001C1D6C">
        <w:rPr>
          <w:rFonts w:ascii="Arial" w:hAnsi="Arial" w:cs="Arial"/>
          <w:sz w:val="24"/>
          <w:szCs w:val="24"/>
        </w:rPr>
        <w:t xml:space="preserve"> </w:t>
      </w:r>
      <w:proofErr w:type="spellStart"/>
      <w:r w:rsidRPr="001C1D6C">
        <w:rPr>
          <w:rFonts w:ascii="Arial" w:hAnsi="Arial" w:cs="Arial"/>
          <w:sz w:val="24"/>
          <w:szCs w:val="24"/>
        </w:rPr>
        <w:t>Med</w:t>
      </w:r>
      <w:proofErr w:type="spellEnd"/>
      <w:r w:rsidRPr="001C1D6C">
        <w:rPr>
          <w:rFonts w:ascii="Arial" w:hAnsi="Arial" w:cs="Arial"/>
          <w:sz w:val="24"/>
          <w:szCs w:val="24"/>
        </w:rPr>
        <w:t xml:space="preserve"> </w:t>
      </w:r>
      <w:proofErr w:type="spellStart"/>
      <w:r w:rsidRPr="001C1D6C">
        <w:rPr>
          <w:rFonts w:ascii="Arial" w:hAnsi="Arial" w:cs="Arial"/>
          <w:sz w:val="24"/>
          <w:szCs w:val="24"/>
        </w:rPr>
        <w:t>Hyg</w:t>
      </w:r>
      <w:proofErr w:type="spellEnd"/>
      <w:r w:rsidRPr="001C1D6C">
        <w:rPr>
          <w:rFonts w:ascii="Arial" w:hAnsi="Arial" w:cs="Arial"/>
          <w:sz w:val="24"/>
          <w:szCs w:val="24"/>
        </w:rPr>
        <w:t xml:space="preserve">. </w:t>
      </w:r>
      <w:r w:rsidRPr="001C1D6C">
        <w:rPr>
          <w:rFonts w:ascii="Arial" w:hAnsi="Arial" w:cs="Arial"/>
          <w:sz w:val="24"/>
          <w:szCs w:val="24"/>
          <w:lang w:val="es-ES"/>
        </w:rPr>
        <w:t>2013; 88(4):670-6.</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Badia</w:t>
      </w:r>
      <w:proofErr w:type="spellEnd"/>
      <w:r w:rsidRPr="001C1D6C">
        <w:rPr>
          <w:rFonts w:ascii="Arial" w:hAnsi="Arial" w:cs="Arial"/>
          <w:sz w:val="24"/>
          <w:szCs w:val="24"/>
          <w:lang w:val="en-US"/>
        </w:rPr>
        <w:t xml:space="preserve"> </w:t>
      </w:r>
      <w:proofErr w:type="spellStart"/>
      <w:r w:rsidRPr="001C1D6C">
        <w:rPr>
          <w:rFonts w:ascii="Arial" w:hAnsi="Arial" w:cs="Arial"/>
          <w:sz w:val="24"/>
          <w:szCs w:val="24"/>
          <w:lang w:val="en-US"/>
        </w:rPr>
        <w:t>Farré</w:t>
      </w:r>
      <w:proofErr w:type="spellEnd"/>
      <w:r w:rsidRPr="001C1D6C">
        <w:rPr>
          <w:rFonts w:ascii="Arial" w:hAnsi="Arial" w:cs="Arial"/>
          <w:sz w:val="24"/>
          <w:szCs w:val="24"/>
          <w:lang w:val="en-US"/>
        </w:rPr>
        <w:t xml:space="preserve"> T, </w:t>
      </w:r>
      <w:proofErr w:type="spellStart"/>
      <w:r w:rsidRPr="001C1D6C">
        <w:rPr>
          <w:rFonts w:ascii="Arial" w:hAnsi="Arial" w:cs="Arial"/>
          <w:sz w:val="24"/>
          <w:szCs w:val="24"/>
          <w:lang w:val="en-US"/>
        </w:rPr>
        <w:t>Formiga</w:t>
      </w:r>
      <w:proofErr w:type="spellEnd"/>
      <w:r w:rsidRPr="001C1D6C">
        <w:rPr>
          <w:rFonts w:ascii="Arial" w:hAnsi="Arial" w:cs="Arial"/>
          <w:sz w:val="24"/>
          <w:szCs w:val="24"/>
          <w:lang w:val="en-US"/>
        </w:rPr>
        <w:t xml:space="preserve"> Perez F, </w:t>
      </w:r>
      <w:proofErr w:type="spellStart"/>
      <w:r w:rsidRPr="001C1D6C">
        <w:rPr>
          <w:rFonts w:ascii="Arial" w:hAnsi="Arial" w:cs="Arial"/>
          <w:sz w:val="24"/>
          <w:szCs w:val="24"/>
          <w:lang w:val="en-US"/>
        </w:rPr>
        <w:t>Almeda</w:t>
      </w:r>
      <w:proofErr w:type="spellEnd"/>
      <w:r w:rsidRPr="001C1D6C">
        <w:rPr>
          <w:rFonts w:ascii="Arial" w:hAnsi="Arial" w:cs="Arial"/>
          <w:sz w:val="24"/>
          <w:szCs w:val="24"/>
          <w:lang w:val="en-US"/>
        </w:rPr>
        <w:t xml:space="preserve"> Ortega J, Ferrer </w:t>
      </w:r>
      <w:proofErr w:type="spellStart"/>
      <w:r w:rsidRPr="001C1D6C">
        <w:rPr>
          <w:rFonts w:ascii="Arial" w:hAnsi="Arial" w:cs="Arial"/>
          <w:sz w:val="24"/>
          <w:szCs w:val="24"/>
          <w:lang w:val="en-US"/>
        </w:rPr>
        <w:t>Feliu</w:t>
      </w:r>
      <w:proofErr w:type="spellEnd"/>
      <w:r w:rsidRPr="001C1D6C">
        <w:rPr>
          <w:rFonts w:ascii="Arial" w:hAnsi="Arial" w:cs="Arial"/>
          <w:sz w:val="24"/>
          <w:szCs w:val="24"/>
          <w:lang w:val="en-US"/>
        </w:rPr>
        <w:t xml:space="preserve"> A, Rojas-</w:t>
      </w:r>
      <w:proofErr w:type="spellStart"/>
      <w:r w:rsidRPr="001C1D6C">
        <w:rPr>
          <w:rFonts w:ascii="Arial" w:hAnsi="Arial" w:cs="Arial"/>
          <w:sz w:val="24"/>
          <w:szCs w:val="24"/>
          <w:lang w:val="en-US"/>
        </w:rPr>
        <w:t>Farreras</w:t>
      </w:r>
      <w:proofErr w:type="spellEnd"/>
      <w:r w:rsidRPr="001C1D6C">
        <w:rPr>
          <w:rFonts w:ascii="Arial" w:hAnsi="Arial" w:cs="Arial"/>
          <w:sz w:val="24"/>
          <w:szCs w:val="24"/>
          <w:lang w:val="en-US"/>
        </w:rPr>
        <w:t xml:space="preserve"> S. Relationship between blood pressure and mortality at 4 years of follow up in a cohort of individuals aged over 80 years. Med </w:t>
      </w:r>
      <w:proofErr w:type="spellStart"/>
      <w:r w:rsidRPr="001C1D6C">
        <w:rPr>
          <w:rFonts w:ascii="Arial" w:hAnsi="Arial" w:cs="Arial"/>
          <w:sz w:val="24"/>
          <w:szCs w:val="24"/>
          <w:lang w:val="en-US"/>
        </w:rPr>
        <w:t>Clin</w:t>
      </w:r>
      <w:proofErr w:type="spellEnd"/>
      <w:r w:rsidRPr="001C1D6C">
        <w:rPr>
          <w:rFonts w:ascii="Arial" w:hAnsi="Arial" w:cs="Arial"/>
          <w:sz w:val="24"/>
          <w:szCs w:val="24"/>
          <w:lang w:val="en-US"/>
        </w:rPr>
        <w:t xml:space="preserve"> (</w:t>
      </w:r>
      <w:proofErr w:type="spellStart"/>
      <w:r w:rsidRPr="001C1D6C">
        <w:rPr>
          <w:rFonts w:ascii="Arial" w:hAnsi="Arial" w:cs="Arial"/>
          <w:sz w:val="24"/>
          <w:szCs w:val="24"/>
          <w:lang w:val="en-US"/>
        </w:rPr>
        <w:t>Barc</w:t>
      </w:r>
      <w:proofErr w:type="spellEnd"/>
      <w:r w:rsidRPr="001C1D6C">
        <w:rPr>
          <w:rFonts w:ascii="Arial" w:hAnsi="Arial" w:cs="Arial"/>
          <w:sz w:val="24"/>
          <w:szCs w:val="24"/>
          <w:lang w:val="en-US"/>
        </w:rPr>
        <w:t>). 2011; 137:97-103.</w:t>
      </w:r>
    </w:p>
    <w:p w:rsidR="00210DC6" w:rsidRPr="001C1D6C" w:rsidRDefault="00210DC6" w:rsidP="00210DC6">
      <w:pPr>
        <w:numPr>
          <w:ilvl w:val="0"/>
          <w:numId w:val="42"/>
        </w:numPr>
        <w:spacing w:after="0" w:line="480" w:lineRule="auto"/>
        <w:jc w:val="both"/>
        <w:rPr>
          <w:rFonts w:ascii="Arial" w:hAnsi="Arial" w:cs="Arial"/>
          <w:sz w:val="24"/>
          <w:szCs w:val="24"/>
          <w:lang w:val="es-CO"/>
        </w:rPr>
      </w:pPr>
      <w:r w:rsidRPr="001C1D6C">
        <w:rPr>
          <w:rFonts w:ascii="Arial" w:hAnsi="Arial" w:cs="Arial"/>
          <w:sz w:val="24"/>
          <w:szCs w:val="24"/>
          <w:lang w:val="es-CO"/>
        </w:rPr>
        <w:t xml:space="preserve">Ricci F, </w:t>
      </w:r>
      <w:proofErr w:type="spellStart"/>
      <w:r w:rsidRPr="001C1D6C">
        <w:rPr>
          <w:rFonts w:ascii="Arial" w:hAnsi="Arial" w:cs="Arial"/>
          <w:sz w:val="24"/>
          <w:szCs w:val="24"/>
          <w:lang w:val="es-CO"/>
        </w:rPr>
        <w:t>Fedorowski</w:t>
      </w:r>
      <w:proofErr w:type="spellEnd"/>
      <w:r w:rsidRPr="001C1D6C">
        <w:rPr>
          <w:rFonts w:ascii="Arial" w:hAnsi="Arial" w:cs="Arial"/>
          <w:sz w:val="24"/>
          <w:szCs w:val="24"/>
          <w:lang w:val="es-CO"/>
        </w:rPr>
        <w:t xml:space="preserve"> A, Radico F, </w:t>
      </w:r>
      <w:proofErr w:type="spellStart"/>
      <w:r w:rsidRPr="001C1D6C">
        <w:rPr>
          <w:rFonts w:ascii="Arial" w:hAnsi="Arial" w:cs="Arial"/>
          <w:sz w:val="24"/>
          <w:szCs w:val="24"/>
          <w:lang w:val="es-CO"/>
        </w:rPr>
        <w:t>Romanello</w:t>
      </w:r>
      <w:proofErr w:type="spellEnd"/>
      <w:r w:rsidRPr="001C1D6C">
        <w:rPr>
          <w:rFonts w:ascii="Arial" w:hAnsi="Arial" w:cs="Arial"/>
          <w:sz w:val="24"/>
          <w:szCs w:val="24"/>
          <w:lang w:val="es-CO"/>
        </w:rPr>
        <w:t xml:space="preserve"> M, </w:t>
      </w:r>
      <w:proofErr w:type="spellStart"/>
      <w:r w:rsidRPr="001C1D6C">
        <w:rPr>
          <w:rFonts w:ascii="Arial" w:hAnsi="Arial" w:cs="Arial"/>
          <w:sz w:val="24"/>
          <w:szCs w:val="24"/>
          <w:lang w:val="es-CO"/>
        </w:rPr>
        <w:t>Tatasciore</w:t>
      </w:r>
      <w:proofErr w:type="spellEnd"/>
      <w:r w:rsidRPr="001C1D6C">
        <w:rPr>
          <w:rFonts w:ascii="Arial" w:hAnsi="Arial" w:cs="Arial"/>
          <w:sz w:val="24"/>
          <w:szCs w:val="24"/>
          <w:lang w:val="es-CO"/>
        </w:rPr>
        <w:t xml:space="preserve"> A, Di Nicola M, et al. </w:t>
      </w:r>
      <w:r w:rsidRPr="001C1D6C">
        <w:rPr>
          <w:rFonts w:ascii="Arial" w:hAnsi="Arial" w:cs="Arial"/>
          <w:sz w:val="24"/>
          <w:szCs w:val="24"/>
          <w:lang w:val="en-US"/>
        </w:rPr>
        <w:t xml:space="preserve">Cardiovascular morbidity and mortality related to orthostatic hypotension: a </w:t>
      </w:r>
      <w:proofErr w:type="spellStart"/>
      <w:r w:rsidRPr="001C1D6C">
        <w:rPr>
          <w:rFonts w:ascii="Arial" w:hAnsi="Arial" w:cs="Arial"/>
          <w:sz w:val="24"/>
          <w:szCs w:val="24"/>
          <w:lang w:val="en-US"/>
        </w:rPr>
        <w:t>metaanalysis</w:t>
      </w:r>
      <w:proofErr w:type="spellEnd"/>
      <w:r w:rsidRPr="001C1D6C">
        <w:rPr>
          <w:rFonts w:ascii="Arial" w:hAnsi="Arial" w:cs="Arial"/>
          <w:sz w:val="24"/>
          <w:szCs w:val="24"/>
          <w:lang w:val="en-US"/>
        </w:rPr>
        <w:t xml:space="preserve"> of prospective observational studies. </w:t>
      </w:r>
      <w:proofErr w:type="spellStart"/>
      <w:r w:rsidRPr="001C1D6C">
        <w:rPr>
          <w:rFonts w:ascii="Arial" w:hAnsi="Arial" w:cs="Arial"/>
          <w:sz w:val="24"/>
          <w:szCs w:val="24"/>
        </w:rPr>
        <w:t>Eur</w:t>
      </w:r>
      <w:proofErr w:type="spellEnd"/>
      <w:r w:rsidRPr="001C1D6C">
        <w:rPr>
          <w:rFonts w:ascii="Arial" w:hAnsi="Arial" w:cs="Arial"/>
          <w:sz w:val="24"/>
          <w:szCs w:val="24"/>
        </w:rPr>
        <w:t xml:space="preserve"> </w:t>
      </w:r>
      <w:proofErr w:type="spellStart"/>
      <w:r w:rsidRPr="001C1D6C">
        <w:rPr>
          <w:rFonts w:ascii="Arial" w:hAnsi="Arial" w:cs="Arial"/>
          <w:sz w:val="24"/>
          <w:szCs w:val="24"/>
        </w:rPr>
        <w:t>Heart</w:t>
      </w:r>
      <w:proofErr w:type="spellEnd"/>
      <w:r w:rsidRPr="001C1D6C">
        <w:rPr>
          <w:rFonts w:ascii="Arial" w:hAnsi="Arial" w:cs="Arial"/>
          <w:sz w:val="24"/>
          <w:szCs w:val="24"/>
        </w:rPr>
        <w:t xml:space="preserve"> J. 2015; 36:1609-17</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Angelousi</w:t>
      </w:r>
      <w:proofErr w:type="spellEnd"/>
      <w:r w:rsidRPr="001C1D6C">
        <w:rPr>
          <w:rFonts w:ascii="Arial" w:hAnsi="Arial" w:cs="Arial"/>
          <w:sz w:val="24"/>
          <w:szCs w:val="24"/>
          <w:lang w:val="en-US"/>
        </w:rPr>
        <w:t xml:space="preserve"> A, </w:t>
      </w:r>
      <w:proofErr w:type="spellStart"/>
      <w:r w:rsidRPr="001C1D6C">
        <w:rPr>
          <w:rFonts w:ascii="Arial" w:hAnsi="Arial" w:cs="Arial"/>
          <w:sz w:val="24"/>
          <w:szCs w:val="24"/>
          <w:lang w:val="en-US"/>
        </w:rPr>
        <w:t>Girerd</w:t>
      </w:r>
      <w:proofErr w:type="spellEnd"/>
      <w:r w:rsidRPr="001C1D6C">
        <w:rPr>
          <w:rFonts w:ascii="Arial" w:hAnsi="Arial" w:cs="Arial"/>
          <w:sz w:val="24"/>
          <w:szCs w:val="24"/>
          <w:lang w:val="en-US"/>
        </w:rPr>
        <w:t xml:space="preserve"> N, </w:t>
      </w:r>
      <w:proofErr w:type="spellStart"/>
      <w:r w:rsidRPr="001C1D6C">
        <w:rPr>
          <w:rFonts w:ascii="Arial" w:hAnsi="Arial" w:cs="Arial"/>
          <w:sz w:val="24"/>
          <w:szCs w:val="24"/>
          <w:lang w:val="en-US"/>
        </w:rPr>
        <w:t>Benetos</w:t>
      </w:r>
      <w:proofErr w:type="spellEnd"/>
      <w:r w:rsidRPr="001C1D6C">
        <w:rPr>
          <w:rFonts w:ascii="Arial" w:hAnsi="Arial" w:cs="Arial"/>
          <w:sz w:val="24"/>
          <w:szCs w:val="24"/>
          <w:lang w:val="en-US"/>
        </w:rPr>
        <w:t xml:space="preserve"> A, </w:t>
      </w:r>
      <w:proofErr w:type="spellStart"/>
      <w:r w:rsidRPr="001C1D6C">
        <w:rPr>
          <w:rFonts w:ascii="Arial" w:hAnsi="Arial" w:cs="Arial"/>
          <w:sz w:val="24"/>
          <w:szCs w:val="24"/>
          <w:lang w:val="en-US"/>
        </w:rPr>
        <w:t>Frimat</w:t>
      </w:r>
      <w:proofErr w:type="spellEnd"/>
      <w:r w:rsidRPr="001C1D6C">
        <w:rPr>
          <w:rFonts w:ascii="Arial" w:hAnsi="Arial" w:cs="Arial"/>
          <w:sz w:val="24"/>
          <w:szCs w:val="24"/>
          <w:lang w:val="en-US"/>
        </w:rPr>
        <w:t xml:space="preserve"> L, Gautier S, </w:t>
      </w:r>
      <w:proofErr w:type="spellStart"/>
      <w:r w:rsidRPr="001C1D6C">
        <w:rPr>
          <w:rFonts w:ascii="Arial" w:hAnsi="Arial" w:cs="Arial"/>
          <w:sz w:val="24"/>
          <w:szCs w:val="24"/>
          <w:lang w:val="en-US"/>
        </w:rPr>
        <w:t>Weryha</w:t>
      </w:r>
      <w:proofErr w:type="spellEnd"/>
      <w:r w:rsidRPr="001C1D6C">
        <w:rPr>
          <w:rFonts w:ascii="Arial" w:hAnsi="Arial" w:cs="Arial"/>
          <w:sz w:val="24"/>
          <w:szCs w:val="24"/>
          <w:lang w:val="en-US"/>
        </w:rPr>
        <w:t xml:space="preserve"> G, et al. Association between orthostatic hypotension and cardiovascular risk, cerebrovascular risk, cognitive decline and falls as well as overall mortality: a systematic review and meta-analysis. J </w:t>
      </w:r>
      <w:proofErr w:type="spellStart"/>
      <w:r w:rsidRPr="001C1D6C">
        <w:rPr>
          <w:rFonts w:ascii="Arial" w:hAnsi="Arial" w:cs="Arial"/>
          <w:sz w:val="24"/>
          <w:szCs w:val="24"/>
          <w:lang w:val="en-US"/>
        </w:rPr>
        <w:t>Hypertens</w:t>
      </w:r>
      <w:proofErr w:type="spellEnd"/>
      <w:r w:rsidRPr="001C1D6C">
        <w:rPr>
          <w:rFonts w:ascii="Arial" w:hAnsi="Arial" w:cs="Arial"/>
          <w:sz w:val="24"/>
          <w:szCs w:val="24"/>
          <w:lang w:val="en-US"/>
        </w:rPr>
        <w:t>. 2014; 32:1562-71.</w:t>
      </w:r>
    </w:p>
    <w:p w:rsidR="00210DC6" w:rsidRPr="001C1D6C" w:rsidRDefault="00210DC6" w:rsidP="00210DC6">
      <w:pPr>
        <w:numPr>
          <w:ilvl w:val="0"/>
          <w:numId w:val="42"/>
        </w:numPr>
        <w:spacing w:after="0" w:line="480" w:lineRule="auto"/>
        <w:jc w:val="both"/>
        <w:rPr>
          <w:rFonts w:ascii="Arial" w:hAnsi="Arial" w:cs="Arial"/>
          <w:sz w:val="24"/>
          <w:szCs w:val="24"/>
          <w:lang w:val="en-US"/>
        </w:rPr>
      </w:pPr>
      <w:proofErr w:type="spellStart"/>
      <w:r w:rsidRPr="001C1D6C">
        <w:rPr>
          <w:rFonts w:ascii="Arial" w:hAnsi="Arial" w:cs="Arial"/>
          <w:sz w:val="24"/>
          <w:szCs w:val="24"/>
          <w:lang w:val="en-US"/>
        </w:rPr>
        <w:t>Xin</w:t>
      </w:r>
      <w:proofErr w:type="spellEnd"/>
      <w:r w:rsidRPr="001C1D6C">
        <w:rPr>
          <w:rFonts w:ascii="Arial" w:hAnsi="Arial" w:cs="Arial"/>
          <w:sz w:val="24"/>
          <w:szCs w:val="24"/>
          <w:lang w:val="en-US"/>
        </w:rPr>
        <w:t xml:space="preserve"> W, Lin Z, Mi S. Orthostatic hypotension and mortality risk: a meta-analysis of cohort studies. Heart. 2014; 100:406-13.</w:t>
      </w:r>
    </w:p>
    <w:p w:rsidR="00210DC6" w:rsidRPr="001C1D6C" w:rsidRDefault="00210DC6" w:rsidP="00210DC6">
      <w:pPr>
        <w:numPr>
          <w:ilvl w:val="0"/>
          <w:numId w:val="42"/>
        </w:numPr>
        <w:spacing w:after="0" w:line="480" w:lineRule="auto"/>
        <w:jc w:val="both"/>
        <w:rPr>
          <w:rFonts w:ascii="Arial" w:hAnsi="Arial" w:cs="Arial"/>
          <w:sz w:val="24"/>
          <w:szCs w:val="24"/>
          <w:lang w:val="en-US"/>
        </w:rPr>
      </w:pPr>
      <w:r w:rsidRPr="001C1D6C">
        <w:rPr>
          <w:rFonts w:ascii="Arial" w:hAnsi="Arial" w:cs="Arial"/>
          <w:sz w:val="24"/>
          <w:szCs w:val="24"/>
          <w:lang w:val="en-US"/>
        </w:rPr>
        <w:t xml:space="preserve">Rockwood MR, </w:t>
      </w:r>
      <w:proofErr w:type="spellStart"/>
      <w:r w:rsidRPr="001C1D6C">
        <w:rPr>
          <w:rFonts w:ascii="Arial" w:hAnsi="Arial" w:cs="Arial"/>
          <w:sz w:val="24"/>
          <w:szCs w:val="24"/>
          <w:lang w:val="en-US"/>
        </w:rPr>
        <w:t>Howlett</w:t>
      </w:r>
      <w:proofErr w:type="spellEnd"/>
      <w:r w:rsidRPr="001C1D6C">
        <w:rPr>
          <w:rFonts w:ascii="Arial" w:hAnsi="Arial" w:cs="Arial"/>
          <w:sz w:val="24"/>
          <w:szCs w:val="24"/>
          <w:lang w:val="en-US"/>
        </w:rPr>
        <w:t xml:space="preserve"> SE, Rockwood K. Orthostatic hypotension (OH) and mortality in relation to age, blood pressure and frailty. Arch </w:t>
      </w:r>
      <w:proofErr w:type="spellStart"/>
      <w:r w:rsidRPr="001C1D6C">
        <w:rPr>
          <w:rFonts w:ascii="Arial" w:hAnsi="Arial" w:cs="Arial"/>
          <w:sz w:val="24"/>
          <w:szCs w:val="24"/>
          <w:lang w:val="en-US"/>
        </w:rPr>
        <w:t>Gerontol</w:t>
      </w:r>
      <w:proofErr w:type="spellEnd"/>
      <w:r w:rsidRPr="001C1D6C">
        <w:rPr>
          <w:rFonts w:ascii="Arial" w:hAnsi="Arial" w:cs="Arial"/>
          <w:sz w:val="24"/>
          <w:szCs w:val="24"/>
          <w:lang w:val="en-US"/>
        </w:rPr>
        <w:t xml:space="preserve"> </w:t>
      </w:r>
      <w:proofErr w:type="spellStart"/>
      <w:r w:rsidRPr="001C1D6C">
        <w:rPr>
          <w:rFonts w:ascii="Arial" w:hAnsi="Arial" w:cs="Arial"/>
          <w:sz w:val="24"/>
          <w:szCs w:val="24"/>
          <w:lang w:val="en-US"/>
        </w:rPr>
        <w:t>Geriatr</w:t>
      </w:r>
      <w:proofErr w:type="spellEnd"/>
      <w:r w:rsidRPr="001C1D6C">
        <w:rPr>
          <w:rFonts w:ascii="Arial" w:hAnsi="Arial" w:cs="Arial"/>
          <w:sz w:val="24"/>
          <w:szCs w:val="24"/>
          <w:lang w:val="en-US"/>
        </w:rPr>
        <w:t>. 2012; 54:e255-60.</w:t>
      </w:r>
    </w:p>
    <w:p w:rsidR="00210DC6" w:rsidRPr="00210DC6" w:rsidRDefault="00210DC6" w:rsidP="00210DC6">
      <w:pPr>
        <w:spacing w:after="0" w:line="480" w:lineRule="auto"/>
        <w:ind w:left="360"/>
        <w:jc w:val="both"/>
        <w:rPr>
          <w:rFonts w:ascii="Arial" w:hAnsi="Arial" w:cs="Arial"/>
          <w:sz w:val="24"/>
          <w:szCs w:val="24"/>
          <w:lang w:val="en-US"/>
        </w:rPr>
      </w:pPr>
    </w:p>
    <w:p w:rsidR="007B66D2" w:rsidRPr="007B66D2" w:rsidRDefault="007B66D2" w:rsidP="00071204">
      <w:pPr>
        <w:spacing w:line="360" w:lineRule="auto"/>
        <w:jc w:val="both"/>
        <w:rPr>
          <w:rFonts w:ascii="Arial" w:hAnsi="Arial" w:cs="Arial"/>
          <w:b/>
          <w:sz w:val="24"/>
          <w:u w:val="single"/>
        </w:rPr>
      </w:pPr>
      <w:r w:rsidRPr="007B66D2">
        <w:rPr>
          <w:rFonts w:ascii="Arial" w:hAnsi="Arial" w:cs="Arial"/>
          <w:b/>
          <w:sz w:val="24"/>
          <w:u w:val="single"/>
        </w:rPr>
        <w:t>Conflicto de intereses</w:t>
      </w:r>
    </w:p>
    <w:p w:rsidR="007B66D2" w:rsidRPr="007B66D2" w:rsidRDefault="007B66D2" w:rsidP="00071204">
      <w:pPr>
        <w:spacing w:line="360" w:lineRule="auto"/>
        <w:jc w:val="both"/>
        <w:rPr>
          <w:rFonts w:ascii="Arial" w:hAnsi="Arial" w:cs="Arial"/>
          <w:sz w:val="24"/>
        </w:rPr>
      </w:pPr>
      <w:r w:rsidRPr="007B66D2">
        <w:rPr>
          <w:rFonts w:ascii="Arial" w:hAnsi="Arial" w:cs="Arial"/>
          <w:sz w:val="24"/>
        </w:rPr>
        <w:lastRenderedPageBreak/>
        <w:t>Los autores declaran que no existe conflicto de intereses.</w:t>
      </w:r>
    </w:p>
    <w:p w:rsidR="007B66D2" w:rsidRPr="007B66D2" w:rsidRDefault="007B66D2" w:rsidP="00071204">
      <w:pPr>
        <w:spacing w:line="360" w:lineRule="auto"/>
        <w:jc w:val="both"/>
        <w:rPr>
          <w:rFonts w:ascii="Arial" w:hAnsi="Arial" w:cs="Arial"/>
          <w:sz w:val="24"/>
        </w:rPr>
      </w:pPr>
    </w:p>
    <w:p w:rsidR="007B66D2" w:rsidRPr="007B66D2" w:rsidRDefault="007B66D2" w:rsidP="00071204">
      <w:pPr>
        <w:spacing w:line="360" w:lineRule="auto"/>
        <w:jc w:val="both"/>
        <w:rPr>
          <w:rFonts w:ascii="Arial" w:hAnsi="Arial" w:cs="Arial"/>
          <w:b/>
          <w:sz w:val="24"/>
          <w:u w:val="single"/>
        </w:rPr>
      </w:pPr>
      <w:r w:rsidRPr="007B66D2">
        <w:rPr>
          <w:rFonts w:ascii="Arial" w:hAnsi="Arial" w:cs="Arial"/>
          <w:b/>
          <w:sz w:val="24"/>
          <w:u w:val="single"/>
        </w:rPr>
        <w:t>Contribución de autores:</w:t>
      </w:r>
    </w:p>
    <w:p w:rsidR="00CE0771" w:rsidRDefault="00CE0771" w:rsidP="00CE0771">
      <w:pPr>
        <w:spacing w:after="0" w:line="360" w:lineRule="auto"/>
        <w:jc w:val="both"/>
        <w:rPr>
          <w:rFonts w:ascii="Arial" w:hAnsi="Arial" w:cs="Arial"/>
          <w:sz w:val="24"/>
        </w:rPr>
      </w:pPr>
      <w:r>
        <w:rPr>
          <w:rFonts w:ascii="Arial" w:hAnsi="Arial" w:cs="Arial"/>
          <w:sz w:val="24"/>
          <w:u w:val="single"/>
        </w:rPr>
        <w:t>Conceptualización:</w:t>
      </w:r>
      <w:r>
        <w:rPr>
          <w:rFonts w:ascii="Arial" w:hAnsi="Arial" w:cs="Arial"/>
          <w:sz w:val="24"/>
        </w:rPr>
        <w:t xml:space="preserve"> </w:t>
      </w:r>
      <w:r w:rsidR="000F63D0" w:rsidRPr="000F63D0">
        <w:rPr>
          <w:rFonts w:ascii="Arial" w:hAnsi="Arial" w:cs="Arial"/>
          <w:sz w:val="24"/>
          <w:lang w:val="es-ES"/>
        </w:rPr>
        <w:t>Carlos Lázaro López Fuentes</w:t>
      </w:r>
    </w:p>
    <w:p w:rsidR="00CE0771" w:rsidRDefault="00CE0771" w:rsidP="00CE0771">
      <w:pPr>
        <w:spacing w:after="0" w:line="360" w:lineRule="auto"/>
        <w:jc w:val="both"/>
        <w:rPr>
          <w:rFonts w:ascii="Arial" w:hAnsi="Arial" w:cs="Arial"/>
          <w:sz w:val="24"/>
        </w:rPr>
      </w:pPr>
      <w:r>
        <w:rPr>
          <w:rFonts w:ascii="Arial" w:hAnsi="Arial" w:cs="Arial"/>
          <w:sz w:val="24"/>
          <w:u w:val="single"/>
        </w:rPr>
        <w:t>Curación de datos:</w:t>
      </w:r>
      <w:r w:rsidR="000F63D0" w:rsidRPr="000F63D0">
        <w:rPr>
          <w:rFonts w:ascii="Arial" w:hAnsi="Arial" w:cs="Arial"/>
          <w:sz w:val="24"/>
          <w:lang w:val="es-ES"/>
        </w:rPr>
        <w:t xml:space="preserve"> Carlos Lázaro López Fuentes</w:t>
      </w:r>
      <w:r>
        <w:rPr>
          <w:rFonts w:ascii="Arial" w:hAnsi="Arial" w:cs="Arial"/>
          <w:sz w:val="24"/>
        </w:rPr>
        <w:t xml:space="preserve">, Roberto Gabriel Albín Cano </w:t>
      </w:r>
    </w:p>
    <w:p w:rsidR="00CE0771" w:rsidRDefault="000F63D0" w:rsidP="00CE0771">
      <w:pPr>
        <w:spacing w:after="0" w:line="360" w:lineRule="auto"/>
        <w:jc w:val="both"/>
        <w:rPr>
          <w:rFonts w:ascii="Arial" w:hAnsi="Arial" w:cs="Arial"/>
          <w:sz w:val="24"/>
        </w:rPr>
      </w:pPr>
      <w:r>
        <w:rPr>
          <w:rFonts w:ascii="Arial" w:hAnsi="Arial" w:cs="Arial"/>
          <w:sz w:val="24"/>
          <w:u w:val="single"/>
        </w:rPr>
        <w:t>Investigación:</w:t>
      </w:r>
      <w:r w:rsidRPr="000F63D0">
        <w:rPr>
          <w:rFonts w:ascii="Arial" w:hAnsi="Arial" w:cs="Arial"/>
          <w:sz w:val="24"/>
          <w:lang w:val="es-ES"/>
        </w:rPr>
        <w:t xml:space="preserve"> Carlos Lázaro López Fuentes</w:t>
      </w:r>
      <w:r w:rsidR="00CE0771">
        <w:rPr>
          <w:rFonts w:ascii="Arial" w:hAnsi="Arial" w:cs="Arial"/>
          <w:sz w:val="24"/>
        </w:rPr>
        <w:t xml:space="preserve">, Nathaliet Rodríguez </w:t>
      </w:r>
      <w:proofErr w:type="spellStart"/>
      <w:r w:rsidR="00CE0771">
        <w:rPr>
          <w:rFonts w:ascii="Arial" w:hAnsi="Arial" w:cs="Arial"/>
          <w:sz w:val="24"/>
        </w:rPr>
        <w:t>Rodríguez</w:t>
      </w:r>
      <w:proofErr w:type="spellEnd"/>
    </w:p>
    <w:p w:rsidR="00CE0771" w:rsidRDefault="00CE0771" w:rsidP="00CE0771">
      <w:pPr>
        <w:spacing w:after="0" w:line="360" w:lineRule="auto"/>
        <w:jc w:val="both"/>
        <w:rPr>
          <w:rFonts w:ascii="Arial" w:hAnsi="Arial" w:cs="Arial"/>
          <w:sz w:val="24"/>
        </w:rPr>
      </w:pPr>
      <w:r>
        <w:rPr>
          <w:rFonts w:ascii="Arial" w:hAnsi="Arial" w:cs="Arial"/>
          <w:sz w:val="24"/>
          <w:u w:val="single"/>
        </w:rPr>
        <w:t>Metodología:</w:t>
      </w:r>
      <w:r>
        <w:rPr>
          <w:rFonts w:ascii="Arial" w:hAnsi="Arial" w:cs="Arial"/>
          <w:sz w:val="24"/>
        </w:rPr>
        <w:t xml:space="preserve"> </w:t>
      </w:r>
      <w:r w:rsidR="000F63D0" w:rsidRPr="000F63D0">
        <w:rPr>
          <w:rFonts w:ascii="Arial" w:hAnsi="Arial" w:cs="Arial"/>
          <w:sz w:val="24"/>
          <w:lang w:val="es-ES"/>
        </w:rPr>
        <w:t>Carlos Lázaro López Fuentes</w:t>
      </w:r>
    </w:p>
    <w:p w:rsidR="00CE0771" w:rsidRDefault="00CE0771" w:rsidP="00CE0771">
      <w:pPr>
        <w:spacing w:after="0" w:line="360" w:lineRule="auto"/>
        <w:jc w:val="both"/>
        <w:rPr>
          <w:rFonts w:ascii="Arial" w:hAnsi="Arial" w:cs="Arial"/>
          <w:sz w:val="24"/>
        </w:rPr>
      </w:pPr>
      <w:r>
        <w:rPr>
          <w:rFonts w:ascii="Arial" w:hAnsi="Arial" w:cs="Arial"/>
          <w:sz w:val="24"/>
          <w:u w:val="single"/>
        </w:rPr>
        <w:t>Administración del proyecto:</w:t>
      </w:r>
      <w:r>
        <w:rPr>
          <w:rFonts w:ascii="Arial" w:hAnsi="Arial" w:cs="Arial"/>
          <w:sz w:val="24"/>
        </w:rPr>
        <w:t xml:space="preserve"> </w:t>
      </w:r>
      <w:r w:rsidR="000F63D0" w:rsidRPr="000F63D0">
        <w:rPr>
          <w:rFonts w:ascii="Arial" w:hAnsi="Arial" w:cs="Arial"/>
          <w:sz w:val="24"/>
          <w:lang w:val="es-ES"/>
        </w:rPr>
        <w:t>Carlos Lázaro López Fuentes</w:t>
      </w:r>
    </w:p>
    <w:p w:rsidR="00CE0771" w:rsidRDefault="00CE0771" w:rsidP="00CE0771">
      <w:pPr>
        <w:spacing w:after="0" w:line="360" w:lineRule="auto"/>
        <w:jc w:val="both"/>
        <w:rPr>
          <w:rFonts w:ascii="Arial" w:hAnsi="Arial" w:cs="Arial"/>
          <w:sz w:val="24"/>
        </w:rPr>
      </w:pPr>
      <w:r>
        <w:rPr>
          <w:rFonts w:ascii="Arial" w:hAnsi="Arial" w:cs="Arial"/>
          <w:sz w:val="24"/>
          <w:u w:val="single"/>
        </w:rPr>
        <w:t>Supervisión:</w:t>
      </w:r>
      <w:r>
        <w:rPr>
          <w:rFonts w:ascii="Arial" w:hAnsi="Arial" w:cs="Arial"/>
          <w:sz w:val="24"/>
        </w:rPr>
        <w:t xml:space="preserve"> Roberto Gabriel Albín Cano</w:t>
      </w:r>
    </w:p>
    <w:p w:rsidR="00CE0771" w:rsidRDefault="00CE0771" w:rsidP="00CE0771">
      <w:pPr>
        <w:spacing w:after="0" w:line="360" w:lineRule="auto"/>
        <w:jc w:val="both"/>
        <w:rPr>
          <w:rFonts w:ascii="Arial" w:hAnsi="Arial" w:cs="Arial"/>
          <w:sz w:val="24"/>
        </w:rPr>
      </w:pPr>
      <w:r>
        <w:rPr>
          <w:rFonts w:ascii="Arial" w:hAnsi="Arial" w:cs="Arial"/>
          <w:sz w:val="24"/>
          <w:u w:val="single"/>
        </w:rPr>
        <w:t>Redacción:</w:t>
      </w:r>
      <w:r>
        <w:rPr>
          <w:rFonts w:ascii="Arial" w:hAnsi="Arial" w:cs="Arial"/>
          <w:sz w:val="24"/>
        </w:rPr>
        <w:t xml:space="preserve"> Roberto Gabriel Albín Cano, Nathaliet Rodríguez </w:t>
      </w:r>
      <w:proofErr w:type="spellStart"/>
      <w:r>
        <w:rPr>
          <w:rFonts w:ascii="Arial" w:hAnsi="Arial" w:cs="Arial"/>
          <w:sz w:val="24"/>
        </w:rPr>
        <w:t>Rodríguez</w:t>
      </w:r>
      <w:proofErr w:type="spellEnd"/>
    </w:p>
    <w:p w:rsidR="00CE0771" w:rsidRDefault="00CE0771" w:rsidP="00CE0771">
      <w:pPr>
        <w:spacing w:after="0" w:line="360" w:lineRule="auto"/>
        <w:jc w:val="both"/>
        <w:rPr>
          <w:rFonts w:ascii="Arial" w:hAnsi="Arial" w:cs="Arial"/>
          <w:sz w:val="24"/>
        </w:rPr>
      </w:pPr>
      <w:r>
        <w:rPr>
          <w:rFonts w:ascii="Arial" w:hAnsi="Arial" w:cs="Arial"/>
          <w:sz w:val="24"/>
          <w:u w:val="single"/>
        </w:rPr>
        <w:t>Revisión y edición:</w:t>
      </w:r>
      <w:r w:rsidR="000F63D0" w:rsidRPr="000F63D0">
        <w:rPr>
          <w:rFonts w:ascii="Arial" w:hAnsi="Arial" w:cs="Arial"/>
          <w:sz w:val="24"/>
          <w:lang w:val="es-ES"/>
        </w:rPr>
        <w:t xml:space="preserve"> Carlos Lázaro López Fuentes</w:t>
      </w:r>
      <w:r w:rsidR="000F63D0">
        <w:rPr>
          <w:rFonts w:ascii="Arial" w:hAnsi="Arial" w:cs="Arial"/>
          <w:sz w:val="24"/>
        </w:rPr>
        <w:t xml:space="preserve">, Roberto Gabriel Albín Cano, Nathaliet Rodríguez </w:t>
      </w:r>
      <w:proofErr w:type="spellStart"/>
      <w:r w:rsidR="000F63D0">
        <w:rPr>
          <w:rFonts w:ascii="Arial" w:hAnsi="Arial" w:cs="Arial"/>
          <w:sz w:val="24"/>
        </w:rPr>
        <w:t>Rodríguez</w:t>
      </w:r>
      <w:proofErr w:type="spellEnd"/>
      <w:r w:rsidR="000F63D0">
        <w:rPr>
          <w:rFonts w:ascii="Arial" w:hAnsi="Arial" w:cs="Arial"/>
          <w:sz w:val="24"/>
        </w:rPr>
        <w:t xml:space="preserve"> </w:t>
      </w:r>
    </w:p>
    <w:p w:rsidR="007B66D2" w:rsidRPr="007B66D2" w:rsidRDefault="007B66D2" w:rsidP="00071204">
      <w:pPr>
        <w:tabs>
          <w:tab w:val="left" w:pos="284"/>
          <w:tab w:val="left" w:pos="426"/>
        </w:tabs>
        <w:spacing w:line="360" w:lineRule="auto"/>
        <w:jc w:val="both"/>
        <w:rPr>
          <w:rFonts w:ascii="Arial" w:hAnsi="Arial" w:cs="Arial"/>
          <w:sz w:val="24"/>
          <w:szCs w:val="24"/>
        </w:rPr>
      </w:pPr>
    </w:p>
    <w:p w:rsidR="005B714B" w:rsidRPr="007B66D2" w:rsidRDefault="005B714B" w:rsidP="00071204">
      <w:pPr>
        <w:jc w:val="both"/>
      </w:pPr>
    </w:p>
    <w:sectPr w:rsidR="005B714B" w:rsidRPr="007B66D2" w:rsidSect="007546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1.25pt;height:11.25pt" o:bullet="t">
        <v:imagedata r:id="rId1" o:title="mso2"/>
      </v:shape>
    </w:pict>
  </w:numPicBullet>
  <w:abstractNum w:abstractNumId="0">
    <w:nsid w:val="00526629"/>
    <w:multiLevelType w:val="hybridMultilevel"/>
    <w:tmpl w:val="23B404EC"/>
    <w:lvl w:ilvl="0" w:tplc="240A0007">
      <w:start w:val="1"/>
      <w:numFmt w:val="bullet"/>
      <w:lvlText w:val=""/>
      <w:lvlPicBulletId w:val="0"/>
      <w:lvlJc w:val="left"/>
      <w:pPr>
        <w:ind w:left="405" w:hanging="360"/>
      </w:pPr>
      <w:rPr>
        <w:rFonts w:ascii="Symbol" w:hAnsi="Symbol"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1">
    <w:nsid w:val="00630B8D"/>
    <w:multiLevelType w:val="hybridMultilevel"/>
    <w:tmpl w:val="69F203F8"/>
    <w:lvl w:ilvl="0" w:tplc="0409000F">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6D54FE"/>
    <w:multiLevelType w:val="hybridMultilevel"/>
    <w:tmpl w:val="967CAD68"/>
    <w:lvl w:ilvl="0" w:tplc="F628DFD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2F52084"/>
    <w:multiLevelType w:val="hybridMultilevel"/>
    <w:tmpl w:val="EFE0099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D81D9B"/>
    <w:multiLevelType w:val="multilevel"/>
    <w:tmpl w:val="D1A67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54FF5"/>
    <w:multiLevelType w:val="hybridMultilevel"/>
    <w:tmpl w:val="CE483070"/>
    <w:lvl w:ilvl="0" w:tplc="7E7252EE">
      <w:numFmt w:val="bullet"/>
      <w:lvlText w:val=""/>
      <w:lvlJc w:val="left"/>
      <w:pPr>
        <w:ind w:left="720" w:hanging="360"/>
      </w:pPr>
      <w:rPr>
        <w:rFonts w:ascii="Symbol" w:eastAsia="Times New Roman" w:hAnsi="Symbol" w:cs="Arial" w:hint="default"/>
        <w:u w:val="none"/>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6715751"/>
    <w:multiLevelType w:val="hybridMultilevel"/>
    <w:tmpl w:val="B170A866"/>
    <w:lvl w:ilvl="0" w:tplc="D348F046">
      <w:start w:val="1"/>
      <w:numFmt w:val="decimal"/>
      <w:lvlText w:val="%1."/>
      <w:lvlJc w:val="left"/>
      <w:pPr>
        <w:ind w:left="360" w:hanging="360"/>
      </w:pPr>
      <w:rPr>
        <w:b/>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08FB2FCC"/>
    <w:multiLevelType w:val="hybridMultilevel"/>
    <w:tmpl w:val="59E03F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6A5916"/>
    <w:multiLevelType w:val="hybridMultilevel"/>
    <w:tmpl w:val="6A68AB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901F7"/>
    <w:multiLevelType w:val="hybridMultilevel"/>
    <w:tmpl w:val="0682221C"/>
    <w:lvl w:ilvl="0" w:tplc="FAA65E4A">
      <w:start w:val="1"/>
      <w:numFmt w:val="lowerLetter"/>
      <w:lvlText w:val="%1)"/>
      <w:lvlJc w:val="left"/>
      <w:pPr>
        <w:ind w:left="1440" w:hanging="360"/>
      </w:pPr>
      <w:rPr>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nsid w:val="0DB03ECD"/>
    <w:multiLevelType w:val="hybridMultilevel"/>
    <w:tmpl w:val="17102B4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0F5B4ED1"/>
    <w:multiLevelType w:val="hybridMultilevel"/>
    <w:tmpl w:val="EED26C12"/>
    <w:lvl w:ilvl="0" w:tplc="240A0007">
      <w:start w:val="1"/>
      <w:numFmt w:val="bullet"/>
      <w:lvlText w:val=""/>
      <w:lvlPicBulletId w:val="0"/>
      <w:lvlJc w:val="left"/>
      <w:pPr>
        <w:ind w:left="1260" w:hanging="360"/>
      </w:pPr>
      <w:rPr>
        <w:rFonts w:ascii="Symbol" w:hAnsi="Symbol" w:hint="default"/>
      </w:rPr>
    </w:lvl>
    <w:lvl w:ilvl="1" w:tplc="240A0003" w:tentative="1">
      <w:start w:val="1"/>
      <w:numFmt w:val="bullet"/>
      <w:lvlText w:val="o"/>
      <w:lvlJc w:val="left"/>
      <w:pPr>
        <w:ind w:left="1980" w:hanging="360"/>
      </w:pPr>
      <w:rPr>
        <w:rFonts w:ascii="Courier New" w:hAnsi="Courier New" w:cs="Courier New" w:hint="default"/>
      </w:rPr>
    </w:lvl>
    <w:lvl w:ilvl="2" w:tplc="240A0005" w:tentative="1">
      <w:start w:val="1"/>
      <w:numFmt w:val="bullet"/>
      <w:lvlText w:val=""/>
      <w:lvlJc w:val="left"/>
      <w:pPr>
        <w:ind w:left="2700" w:hanging="360"/>
      </w:pPr>
      <w:rPr>
        <w:rFonts w:ascii="Wingdings" w:hAnsi="Wingdings" w:hint="default"/>
      </w:rPr>
    </w:lvl>
    <w:lvl w:ilvl="3" w:tplc="240A0001" w:tentative="1">
      <w:start w:val="1"/>
      <w:numFmt w:val="bullet"/>
      <w:lvlText w:val=""/>
      <w:lvlJc w:val="left"/>
      <w:pPr>
        <w:ind w:left="3420" w:hanging="360"/>
      </w:pPr>
      <w:rPr>
        <w:rFonts w:ascii="Symbol" w:hAnsi="Symbol" w:hint="default"/>
      </w:rPr>
    </w:lvl>
    <w:lvl w:ilvl="4" w:tplc="240A0003" w:tentative="1">
      <w:start w:val="1"/>
      <w:numFmt w:val="bullet"/>
      <w:lvlText w:val="o"/>
      <w:lvlJc w:val="left"/>
      <w:pPr>
        <w:ind w:left="4140" w:hanging="360"/>
      </w:pPr>
      <w:rPr>
        <w:rFonts w:ascii="Courier New" w:hAnsi="Courier New" w:cs="Courier New" w:hint="default"/>
      </w:rPr>
    </w:lvl>
    <w:lvl w:ilvl="5" w:tplc="240A0005" w:tentative="1">
      <w:start w:val="1"/>
      <w:numFmt w:val="bullet"/>
      <w:lvlText w:val=""/>
      <w:lvlJc w:val="left"/>
      <w:pPr>
        <w:ind w:left="4860" w:hanging="360"/>
      </w:pPr>
      <w:rPr>
        <w:rFonts w:ascii="Wingdings" w:hAnsi="Wingdings" w:hint="default"/>
      </w:rPr>
    </w:lvl>
    <w:lvl w:ilvl="6" w:tplc="240A0001" w:tentative="1">
      <w:start w:val="1"/>
      <w:numFmt w:val="bullet"/>
      <w:lvlText w:val=""/>
      <w:lvlJc w:val="left"/>
      <w:pPr>
        <w:ind w:left="5580" w:hanging="360"/>
      </w:pPr>
      <w:rPr>
        <w:rFonts w:ascii="Symbol" w:hAnsi="Symbol" w:hint="default"/>
      </w:rPr>
    </w:lvl>
    <w:lvl w:ilvl="7" w:tplc="240A0003" w:tentative="1">
      <w:start w:val="1"/>
      <w:numFmt w:val="bullet"/>
      <w:lvlText w:val="o"/>
      <w:lvlJc w:val="left"/>
      <w:pPr>
        <w:ind w:left="6300" w:hanging="360"/>
      </w:pPr>
      <w:rPr>
        <w:rFonts w:ascii="Courier New" w:hAnsi="Courier New" w:cs="Courier New" w:hint="default"/>
      </w:rPr>
    </w:lvl>
    <w:lvl w:ilvl="8" w:tplc="240A0005" w:tentative="1">
      <w:start w:val="1"/>
      <w:numFmt w:val="bullet"/>
      <w:lvlText w:val=""/>
      <w:lvlJc w:val="left"/>
      <w:pPr>
        <w:ind w:left="7020" w:hanging="360"/>
      </w:pPr>
      <w:rPr>
        <w:rFonts w:ascii="Wingdings" w:hAnsi="Wingdings" w:hint="default"/>
      </w:rPr>
    </w:lvl>
  </w:abstractNum>
  <w:abstractNum w:abstractNumId="12">
    <w:nsid w:val="1035763B"/>
    <w:multiLevelType w:val="hybridMultilevel"/>
    <w:tmpl w:val="F2A4FE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13E34B9"/>
    <w:multiLevelType w:val="hybridMultilevel"/>
    <w:tmpl w:val="85A23A5C"/>
    <w:lvl w:ilvl="0" w:tplc="A5D09D0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39F5CB9"/>
    <w:multiLevelType w:val="hybridMultilevel"/>
    <w:tmpl w:val="F94A1452"/>
    <w:lvl w:ilvl="0" w:tplc="333A9C3A">
      <w:start w:val="1"/>
      <w:numFmt w:val="bullet"/>
      <w:lvlText w:val="&gt;"/>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3F24DC1"/>
    <w:multiLevelType w:val="hybridMultilevel"/>
    <w:tmpl w:val="46A0BFB6"/>
    <w:lvl w:ilvl="0" w:tplc="0409000F">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3F72206"/>
    <w:multiLevelType w:val="hybridMultilevel"/>
    <w:tmpl w:val="54301A20"/>
    <w:lvl w:ilvl="0" w:tplc="95FC5C66">
      <w:start w:val="1"/>
      <w:numFmt w:val="decimal"/>
      <w:lvlText w:val="%1."/>
      <w:lvlJc w:val="left"/>
      <w:pPr>
        <w:ind w:left="720" w:hanging="360"/>
      </w:pPr>
      <w:rPr>
        <w:b w:val="0"/>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1A3D4448"/>
    <w:multiLevelType w:val="hybridMultilevel"/>
    <w:tmpl w:val="78A6E5EC"/>
    <w:lvl w:ilvl="0" w:tplc="27E24F78">
      <w:start w:val="1"/>
      <w:numFmt w:val="bullet"/>
      <w:lvlText w:val="•"/>
      <w:lvlJc w:val="left"/>
      <w:pPr>
        <w:tabs>
          <w:tab w:val="num" w:pos="720"/>
        </w:tabs>
        <w:ind w:left="720" w:hanging="360"/>
      </w:pPr>
      <w:rPr>
        <w:rFonts w:ascii="Arial" w:hAnsi="Arial" w:hint="default"/>
      </w:rPr>
    </w:lvl>
    <w:lvl w:ilvl="1" w:tplc="0778FAB2" w:tentative="1">
      <w:start w:val="1"/>
      <w:numFmt w:val="bullet"/>
      <w:lvlText w:val="•"/>
      <w:lvlJc w:val="left"/>
      <w:pPr>
        <w:tabs>
          <w:tab w:val="num" w:pos="1440"/>
        </w:tabs>
        <w:ind w:left="1440" w:hanging="360"/>
      </w:pPr>
      <w:rPr>
        <w:rFonts w:ascii="Arial" w:hAnsi="Arial" w:hint="default"/>
      </w:rPr>
    </w:lvl>
    <w:lvl w:ilvl="2" w:tplc="496E854A" w:tentative="1">
      <w:start w:val="1"/>
      <w:numFmt w:val="bullet"/>
      <w:lvlText w:val="•"/>
      <w:lvlJc w:val="left"/>
      <w:pPr>
        <w:tabs>
          <w:tab w:val="num" w:pos="2160"/>
        </w:tabs>
        <w:ind w:left="2160" w:hanging="360"/>
      </w:pPr>
      <w:rPr>
        <w:rFonts w:ascii="Arial" w:hAnsi="Arial" w:hint="default"/>
      </w:rPr>
    </w:lvl>
    <w:lvl w:ilvl="3" w:tplc="D88854E8" w:tentative="1">
      <w:start w:val="1"/>
      <w:numFmt w:val="bullet"/>
      <w:lvlText w:val="•"/>
      <w:lvlJc w:val="left"/>
      <w:pPr>
        <w:tabs>
          <w:tab w:val="num" w:pos="2880"/>
        </w:tabs>
        <w:ind w:left="2880" w:hanging="360"/>
      </w:pPr>
      <w:rPr>
        <w:rFonts w:ascii="Arial" w:hAnsi="Arial" w:hint="default"/>
      </w:rPr>
    </w:lvl>
    <w:lvl w:ilvl="4" w:tplc="D04A5060" w:tentative="1">
      <w:start w:val="1"/>
      <w:numFmt w:val="bullet"/>
      <w:lvlText w:val="•"/>
      <w:lvlJc w:val="left"/>
      <w:pPr>
        <w:tabs>
          <w:tab w:val="num" w:pos="3600"/>
        </w:tabs>
        <w:ind w:left="3600" w:hanging="360"/>
      </w:pPr>
      <w:rPr>
        <w:rFonts w:ascii="Arial" w:hAnsi="Arial" w:hint="default"/>
      </w:rPr>
    </w:lvl>
    <w:lvl w:ilvl="5" w:tplc="F07A425E" w:tentative="1">
      <w:start w:val="1"/>
      <w:numFmt w:val="bullet"/>
      <w:lvlText w:val="•"/>
      <w:lvlJc w:val="left"/>
      <w:pPr>
        <w:tabs>
          <w:tab w:val="num" w:pos="4320"/>
        </w:tabs>
        <w:ind w:left="4320" w:hanging="360"/>
      </w:pPr>
      <w:rPr>
        <w:rFonts w:ascii="Arial" w:hAnsi="Arial" w:hint="default"/>
      </w:rPr>
    </w:lvl>
    <w:lvl w:ilvl="6" w:tplc="91169914" w:tentative="1">
      <w:start w:val="1"/>
      <w:numFmt w:val="bullet"/>
      <w:lvlText w:val="•"/>
      <w:lvlJc w:val="left"/>
      <w:pPr>
        <w:tabs>
          <w:tab w:val="num" w:pos="5040"/>
        </w:tabs>
        <w:ind w:left="5040" w:hanging="360"/>
      </w:pPr>
      <w:rPr>
        <w:rFonts w:ascii="Arial" w:hAnsi="Arial" w:hint="default"/>
      </w:rPr>
    </w:lvl>
    <w:lvl w:ilvl="7" w:tplc="37448338" w:tentative="1">
      <w:start w:val="1"/>
      <w:numFmt w:val="bullet"/>
      <w:lvlText w:val="•"/>
      <w:lvlJc w:val="left"/>
      <w:pPr>
        <w:tabs>
          <w:tab w:val="num" w:pos="5760"/>
        </w:tabs>
        <w:ind w:left="5760" w:hanging="360"/>
      </w:pPr>
      <w:rPr>
        <w:rFonts w:ascii="Arial" w:hAnsi="Arial" w:hint="default"/>
      </w:rPr>
    </w:lvl>
    <w:lvl w:ilvl="8" w:tplc="A1A23DA0" w:tentative="1">
      <w:start w:val="1"/>
      <w:numFmt w:val="bullet"/>
      <w:lvlText w:val="•"/>
      <w:lvlJc w:val="left"/>
      <w:pPr>
        <w:tabs>
          <w:tab w:val="num" w:pos="6480"/>
        </w:tabs>
        <w:ind w:left="6480" w:hanging="360"/>
      </w:pPr>
      <w:rPr>
        <w:rFonts w:ascii="Arial" w:hAnsi="Arial" w:hint="default"/>
      </w:rPr>
    </w:lvl>
  </w:abstractNum>
  <w:abstractNum w:abstractNumId="18">
    <w:nsid w:val="1DA04638"/>
    <w:multiLevelType w:val="hybridMultilevel"/>
    <w:tmpl w:val="41E0808A"/>
    <w:lvl w:ilvl="0" w:tplc="CBAAE2C4">
      <w:start w:val="1"/>
      <w:numFmt w:val="bullet"/>
      <w:lvlText w:val="•"/>
      <w:lvlJc w:val="left"/>
      <w:pPr>
        <w:tabs>
          <w:tab w:val="num" w:pos="720"/>
        </w:tabs>
        <w:ind w:left="720" w:hanging="360"/>
      </w:pPr>
      <w:rPr>
        <w:rFonts w:ascii="Arial" w:hAnsi="Arial" w:hint="default"/>
      </w:rPr>
    </w:lvl>
    <w:lvl w:ilvl="1" w:tplc="09B6E4B4" w:tentative="1">
      <w:start w:val="1"/>
      <w:numFmt w:val="bullet"/>
      <w:lvlText w:val="•"/>
      <w:lvlJc w:val="left"/>
      <w:pPr>
        <w:tabs>
          <w:tab w:val="num" w:pos="1440"/>
        </w:tabs>
        <w:ind w:left="1440" w:hanging="360"/>
      </w:pPr>
      <w:rPr>
        <w:rFonts w:ascii="Arial" w:hAnsi="Arial" w:hint="default"/>
      </w:rPr>
    </w:lvl>
    <w:lvl w:ilvl="2" w:tplc="4E0A55C6" w:tentative="1">
      <w:start w:val="1"/>
      <w:numFmt w:val="bullet"/>
      <w:lvlText w:val="•"/>
      <w:lvlJc w:val="left"/>
      <w:pPr>
        <w:tabs>
          <w:tab w:val="num" w:pos="2160"/>
        </w:tabs>
        <w:ind w:left="2160" w:hanging="360"/>
      </w:pPr>
      <w:rPr>
        <w:rFonts w:ascii="Arial" w:hAnsi="Arial" w:hint="default"/>
      </w:rPr>
    </w:lvl>
    <w:lvl w:ilvl="3" w:tplc="F304786C" w:tentative="1">
      <w:start w:val="1"/>
      <w:numFmt w:val="bullet"/>
      <w:lvlText w:val="•"/>
      <w:lvlJc w:val="left"/>
      <w:pPr>
        <w:tabs>
          <w:tab w:val="num" w:pos="2880"/>
        </w:tabs>
        <w:ind w:left="2880" w:hanging="360"/>
      </w:pPr>
      <w:rPr>
        <w:rFonts w:ascii="Arial" w:hAnsi="Arial" w:hint="default"/>
      </w:rPr>
    </w:lvl>
    <w:lvl w:ilvl="4" w:tplc="47FACF6C" w:tentative="1">
      <w:start w:val="1"/>
      <w:numFmt w:val="bullet"/>
      <w:lvlText w:val="•"/>
      <w:lvlJc w:val="left"/>
      <w:pPr>
        <w:tabs>
          <w:tab w:val="num" w:pos="3600"/>
        </w:tabs>
        <w:ind w:left="3600" w:hanging="360"/>
      </w:pPr>
      <w:rPr>
        <w:rFonts w:ascii="Arial" w:hAnsi="Arial" w:hint="default"/>
      </w:rPr>
    </w:lvl>
    <w:lvl w:ilvl="5" w:tplc="1D743BC4" w:tentative="1">
      <w:start w:val="1"/>
      <w:numFmt w:val="bullet"/>
      <w:lvlText w:val="•"/>
      <w:lvlJc w:val="left"/>
      <w:pPr>
        <w:tabs>
          <w:tab w:val="num" w:pos="4320"/>
        </w:tabs>
        <w:ind w:left="4320" w:hanging="360"/>
      </w:pPr>
      <w:rPr>
        <w:rFonts w:ascii="Arial" w:hAnsi="Arial" w:hint="default"/>
      </w:rPr>
    </w:lvl>
    <w:lvl w:ilvl="6" w:tplc="404AE400" w:tentative="1">
      <w:start w:val="1"/>
      <w:numFmt w:val="bullet"/>
      <w:lvlText w:val="•"/>
      <w:lvlJc w:val="left"/>
      <w:pPr>
        <w:tabs>
          <w:tab w:val="num" w:pos="5040"/>
        </w:tabs>
        <w:ind w:left="5040" w:hanging="360"/>
      </w:pPr>
      <w:rPr>
        <w:rFonts w:ascii="Arial" w:hAnsi="Arial" w:hint="default"/>
      </w:rPr>
    </w:lvl>
    <w:lvl w:ilvl="7" w:tplc="672EBFF8" w:tentative="1">
      <w:start w:val="1"/>
      <w:numFmt w:val="bullet"/>
      <w:lvlText w:val="•"/>
      <w:lvlJc w:val="left"/>
      <w:pPr>
        <w:tabs>
          <w:tab w:val="num" w:pos="5760"/>
        </w:tabs>
        <w:ind w:left="5760" w:hanging="360"/>
      </w:pPr>
      <w:rPr>
        <w:rFonts w:ascii="Arial" w:hAnsi="Arial" w:hint="default"/>
      </w:rPr>
    </w:lvl>
    <w:lvl w:ilvl="8" w:tplc="26AACFA4" w:tentative="1">
      <w:start w:val="1"/>
      <w:numFmt w:val="bullet"/>
      <w:lvlText w:val="•"/>
      <w:lvlJc w:val="left"/>
      <w:pPr>
        <w:tabs>
          <w:tab w:val="num" w:pos="6480"/>
        </w:tabs>
        <w:ind w:left="6480" w:hanging="360"/>
      </w:pPr>
      <w:rPr>
        <w:rFonts w:ascii="Arial" w:hAnsi="Arial" w:hint="default"/>
      </w:rPr>
    </w:lvl>
  </w:abstractNum>
  <w:abstractNum w:abstractNumId="19">
    <w:nsid w:val="23860514"/>
    <w:multiLevelType w:val="hybridMultilevel"/>
    <w:tmpl w:val="ECC24FF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25D16993"/>
    <w:multiLevelType w:val="multilevel"/>
    <w:tmpl w:val="5648A4B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261B08F0"/>
    <w:multiLevelType w:val="hybridMultilevel"/>
    <w:tmpl w:val="457889A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2B1331EF"/>
    <w:multiLevelType w:val="hybridMultilevel"/>
    <w:tmpl w:val="CA327FA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2BC1395D"/>
    <w:multiLevelType w:val="hybridMultilevel"/>
    <w:tmpl w:val="AA343BF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2C572F2E"/>
    <w:multiLevelType w:val="hybridMultilevel"/>
    <w:tmpl w:val="71869D0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54D0929"/>
    <w:multiLevelType w:val="hybridMultilevel"/>
    <w:tmpl w:val="78C6C9EA"/>
    <w:lvl w:ilvl="0" w:tplc="240A0007">
      <w:start w:val="1"/>
      <w:numFmt w:val="bullet"/>
      <w:lvlText w:val=""/>
      <w:lvlPicBulletId w:val="0"/>
      <w:lvlJc w:val="left"/>
      <w:pPr>
        <w:ind w:left="817" w:hanging="360"/>
      </w:pPr>
      <w:rPr>
        <w:rFonts w:ascii="Symbol" w:hAnsi="Symbol" w:hint="default"/>
      </w:rPr>
    </w:lvl>
    <w:lvl w:ilvl="1" w:tplc="240A0003" w:tentative="1">
      <w:start w:val="1"/>
      <w:numFmt w:val="bullet"/>
      <w:lvlText w:val="o"/>
      <w:lvlJc w:val="left"/>
      <w:pPr>
        <w:ind w:left="1537" w:hanging="360"/>
      </w:pPr>
      <w:rPr>
        <w:rFonts w:ascii="Courier New" w:hAnsi="Courier New" w:cs="Courier New" w:hint="default"/>
      </w:rPr>
    </w:lvl>
    <w:lvl w:ilvl="2" w:tplc="240A0005" w:tentative="1">
      <w:start w:val="1"/>
      <w:numFmt w:val="bullet"/>
      <w:lvlText w:val=""/>
      <w:lvlJc w:val="left"/>
      <w:pPr>
        <w:ind w:left="2257" w:hanging="360"/>
      </w:pPr>
      <w:rPr>
        <w:rFonts w:ascii="Wingdings" w:hAnsi="Wingdings" w:hint="default"/>
      </w:rPr>
    </w:lvl>
    <w:lvl w:ilvl="3" w:tplc="240A0001" w:tentative="1">
      <w:start w:val="1"/>
      <w:numFmt w:val="bullet"/>
      <w:lvlText w:val=""/>
      <w:lvlJc w:val="left"/>
      <w:pPr>
        <w:ind w:left="2977" w:hanging="360"/>
      </w:pPr>
      <w:rPr>
        <w:rFonts w:ascii="Symbol" w:hAnsi="Symbol" w:hint="default"/>
      </w:rPr>
    </w:lvl>
    <w:lvl w:ilvl="4" w:tplc="240A0003" w:tentative="1">
      <w:start w:val="1"/>
      <w:numFmt w:val="bullet"/>
      <w:lvlText w:val="o"/>
      <w:lvlJc w:val="left"/>
      <w:pPr>
        <w:ind w:left="3697" w:hanging="360"/>
      </w:pPr>
      <w:rPr>
        <w:rFonts w:ascii="Courier New" w:hAnsi="Courier New" w:cs="Courier New" w:hint="default"/>
      </w:rPr>
    </w:lvl>
    <w:lvl w:ilvl="5" w:tplc="240A0005" w:tentative="1">
      <w:start w:val="1"/>
      <w:numFmt w:val="bullet"/>
      <w:lvlText w:val=""/>
      <w:lvlJc w:val="left"/>
      <w:pPr>
        <w:ind w:left="4417" w:hanging="360"/>
      </w:pPr>
      <w:rPr>
        <w:rFonts w:ascii="Wingdings" w:hAnsi="Wingdings" w:hint="default"/>
      </w:rPr>
    </w:lvl>
    <w:lvl w:ilvl="6" w:tplc="240A0001" w:tentative="1">
      <w:start w:val="1"/>
      <w:numFmt w:val="bullet"/>
      <w:lvlText w:val=""/>
      <w:lvlJc w:val="left"/>
      <w:pPr>
        <w:ind w:left="5137" w:hanging="360"/>
      </w:pPr>
      <w:rPr>
        <w:rFonts w:ascii="Symbol" w:hAnsi="Symbol" w:hint="default"/>
      </w:rPr>
    </w:lvl>
    <w:lvl w:ilvl="7" w:tplc="240A0003" w:tentative="1">
      <w:start w:val="1"/>
      <w:numFmt w:val="bullet"/>
      <w:lvlText w:val="o"/>
      <w:lvlJc w:val="left"/>
      <w:pPr>
        <w:ind w:left="5857" w:hanging="360"/>
      </w:pPr>
      <w:rPr>
        <w:rFonts w:ascii="Courier New" w:hAnsi="Courier New" w:cs="Courier New" w:hint="default"/>
      </w:rPr>
    </w:lvl>
    <w:lvl w:ilvl="8" w:tplc="240A0005" w:tentative="1">
      <w:start w:val="1"/>
      <w:numFmt w:val="bullet"/>
      <w:lvlText w:val=""/>
      <w:lvlJc w:val="left"/>
      <w:pPr>
        <w:ind w:left="6577" w:hanging="360"/>
      </w:pPr>
      <w:rPr>
        <w:rFonts w:ascii="Wingdings" w:hAnsi="Wingdings" w:hint="default"/>
      </w:rPr>
    </w:lvl>
  </w:abstractNum>
  <w:abstractNum w:abstractNumId="26">
    <w:nsid w:val="3AF502C8"/>
    <w:multiLevelType w:val="hybridMultilevel"/>
    <w:tmpl w:val="11461EF2"/>
    <w:lvl w:ilvl="0" w:tplc="0A5CD89A">
      <w:start w:val="5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376657"/>
    <w:multiLevelType w:val="hybridMultilevel"/>
    <w:tmpl w:val="BE520074"/>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8">
    <w:nsid w:val="459E6EEA"/>
    <w:multiLevelType w:val="hybridMultilevel"/>
    <w:tmpl w:val="C010CD78"/>
    <w:lvl w:ilvl="0" w:tplc="240A0007">
      <w:start w:val="1"/>
      <w:numFmt w:val="bullet"/>
      <w:lvlText w:val=""/>
      <w:lvlPicBulletId w:val="0"/>
      <w:lvlJc w:val="left"/>
      <w:pPr>
        <w:ind w:left="959" w:hanging="360"/>
      </w:pPr>
      <w:rPr>
        <w:rFonts w:ascii="Symbol" w:hAnsi="Symbol" w:hint="default"/>
      </w:rPr>
    </w:lvl>
    <w:lvl w:ilvl="1" w:tplc="240A0003" w:tentative="1">
      <w:start w:val="1"/>
      <w:numFmt w:val="bullet"/>
      <w:lvlText w:val="o"/>
      <w:lvlJc w:val="left"/>
      <w:pPr>
        <w:ind w:left="1679" w:hanging="360"/>
      </w:pPr>
      <w:rPr>
        <w:rFonts w:ascii="Courier New" w:hAnsi="Courier New" w:cs="Courier New" w:hint="default"/>
      </w:rPr>
    </w:lvl>
    <w:lvl w:ilvl="2" w:tplc="240A0005" w:tentative="1">
      <w:start w:val="1"/>
      <w:numFmt w:val="bullet"/>
      <w:lvlText w:val=""/>
      <w:lvlJc w:val="left"/>
      <w:pPr>
        <w:ind w:left="2399" w:hanging="360"/>
      </w:pPr>
      <w:rPr>
        <w:rFonts w:ascii="Wingdings" w:hAnsi="Wingdings" w:hint="default"/>
      </w:rPr>
    </w:lvl>
    <w:lvl w:ilvl="3" w:tplc="240A0001" w:tentative="1">
      <w:start w:val="1"/>
      <w:numFmt w:val="bullet"/>
      <w:lvlText w:val=""/>
      <w:lvlJc w:val="left"/>
      <w:pPr>
        <w:ind w:left="3119" w:hanging="360"/>
      </w:pPr>
      <w:rPr>
        <w:rFonts w:ascii="Symbol" w:hAnsi="Symbol" w:hint="default"/>
      </w:rPr>
    </w:lvl>
    <w:lvl w:ilvl="4" w:tplc="240A0003" w:tentative="1">
      <w:start w:val="1"/>
      <w:numFmt w:val="bullet"/>
      <w:lvlText w:val="o"/>
      <w:lvlJc w:val="left"/>
      <w:pPr>
        <w:ind w:left="3839" w:hanging="360"/>
      </w:pPr>
      <w:rPr>
        <w:rFonts w:ascii="Courier New" w:hAnsi="Courier New" w:cs="Courier New" w:hint="default"/>
      </w:rPr>
    </w:lvl>
    <w:lvl w:ilvl="5" w:tplc="240A0005" w:tentative="1">
      <w:start w:val="1"/>
      <w:numFmt w:val="bullet"/>
      <w:lvlText w:val=""/>
      <w:lvlJc w:val="left"/>
      <w:pPr>
        <w:ind w:left="4559" w:hanging="360"/>
      </w:pPr>
      <w:rPr>
        <w:rFonts w:ascii="Wingdings" w:hAnsi="Wingdings" w:hint="default"/>
      </w:rPr>
    </w:lvl>
    <w:lvl w:ilvl="6" w:tplc="240A0001" w:tentative="1">
      <w:start w:val="1"/>
      <w:numFmt w:val="bullet"/>
      <w:lvlText w:val=""/>
      <w:lvlJc w:val="left"/>
      <w:pPr>
        <w:ind w:left="5279" w:hanging="360"/>
      </w:pPr>
      <w:rPr>
        <w:rFonts w:ascii="Symbol" w:hAnsi="Symbol" w:hint="default"/>
      </w:rPr>
    </w:lvl>
    <w:lvl w:ilvl="7" w:tplc="240A0003" w:tentative="1">
      <w:start w:val="1"/>
      <w:numFmt w:val="bullet"/>
      <w:lvlText w:val="o"/>
      <w:lvlJc w:val="left"/>
      <w:pPr>
        <w:ind w:left="5999" w:hanging="360"/>
      </w:pPr>
      <w:rPr>
        <w:rFonts w:ascii="Courier New" w:hAnsi="Courier New" w:cs="Courier New" w:hint="default"/>
      </w:rPr>
    </w:lvl>
    <w:lvl w:ilvl="8" w:tplc="240A0005" w:tentative="1">
      <w:start w:val="1"/>
      <w:numFmt w:val="bullet"/>
      <w:lvlText w:val=""/>
      <w:lvlJc w:val="left"/>
      <w:pPr>
        <w:ind w:left="6719" w:hanging="360"/>
      </w:pPr>
      <w:rPr>
        <w:rFonts w:ascii="Wingdings" w:hAnsi="Wingdings" w:hint="default"/>
      </w:rPr>
    </w:lvl>
  </w:abstractNum>
  <w:abstractNum w:abstractNumId="29">
    <w:nsid w:val="46CF3AD5"/>
    <w:multiLevelType w:val="hybridMultilevel"/>
    <w:tmpl w:val="DC30CA8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BA6D8C"/>
    <w:multiLevelType w:val="hybridMultilevel"/>
    <w:tmpl w:val="A3B4BD9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21D6B7C"/>
    <w:multiLevelType w:val="hybridMultilevel"/>
    <w:tmpl w:val="D2C447BC"/>
    <w:lvl w:ilvl="0" w:tplc="8AF6717E">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5433670"/>
    <w:multiLevelType w:val="hybridMultilevel"/>
    <w:tmpl w:val="7D884B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B2420D"/>
    <w:multiLevelType w:val="hybridMultilevel"/>
    <w:tmpl w:val="5F0E09DA"/>
    <w:lvl w:ilvl="0" w:tplc="D9EE2A2C">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5BA46E43"/>
    <w:multiLevelType w:val="hybridMultilevel"/>
    <w:tmpl w:val="9C888D4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5319CE"/>
    <w:multiLevelType w:val="hybridMultilevel"/>
    <w:tmpl w:val="6E9A7D1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11F2BC6"/>
    <w:multiLevelType w:val="multilevel"/>
    <w:tmpl w:val="E81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8D7377"/>
    <w:multiLevelType w:val="hybridMultilevel"/>
    <w:tmpl w:val="30E64796"/>
    <w:lvl w:ilvl="0" w:tplc="240A0007">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E3F42AA"/>
    <w:multiLevelType w:val="hybridMultilevel"/>
    <w:tmpl w:val="CB8C5C6E"/>
    <w:lvl w:ilvl="0" w:tplc="3B882A00">
      <w:start w:val="106"/>
      <w:numFmt w:val="decimal"/>
      <w:lvlText w:val="%1."/>
      <w:lvlJc w:val="left"/>
      <w:pPr>
        <w:tabs>
          <w:tab w:val="num" w:pos="828"/>
        </w:tabs>
        <w:ind w:left="828" w:hanging="468"/>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F8B04DB"/>
    <w:multiLevelType w:val="hybridMultilevel"/>
    <w:tmpl w:val="E52EAE48"/>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0">
    <w:nsid w:val="712854F7"/>
    <w:multiLevelType w:val="hybridMultilevel"/>
    <w:tmpl w:val="B59EFAB8"/>
    <w:lvl w:ilvl="0" w:tplc="1F16D2F8">
      <w:start w:val="1"/>
      <w:numFmt w:val="bullet"/>
      <w:lvlText w:val="•"/>
      <w:lvlJc w:val="left"/>
      <w:pPr>
        <w:tabs>
          <w:tab w:val="num" w:pos="720"/>
        </w:tabs>
        <w:ind w:left="720" w:hanging="360"/>
      </w:pPr>
      <w:rPr>
        <w:rFonts w:ascii="Arial" w:hAnsi="Arial" w:hint="default"/>
      </w:rPr>
    </w:lvl>
    <w:lvl w:ilvl="1" w:tplc="2258FCDA" w:tentative="1">
      <w:start w:val="1"/>
      <w:numFmt w:val="bullet"/>
      <w:lvlText w:val="•"/>
      <w:lvlJc w:val="left"/>
      <w:pPr>
        <w:tabs>
          <w:tab w:val="num" w:pos="1440"/>
        </w:tabs>
        <w:ind w:left="1440" w:hanging="360"/>
      </w:pPr>
      <w:rPr>
        <w:rFonts w:ascii="Arial" w:hAnsi="Arial" w:hint="default"/>
      </w:rPr>
    </w:lvl>
    <w:lvl w:ilvl="2" w:tplc="BCF6D874" w:tentative="1">
      <w:start w:val="1"/>
      <w:numFmt w:val="bullet"/>
      <w:lvlText w:val="•"/>
      <w:lvlJc w:val="left"/>
      <w:pPr>
        <w:tabs>
          <w:tab w:val="num" w:pos="2160"/>
        </w:tabs>
        <w:ind w:left="2160" w:hanging="360"/>
      </w:pPr>
      <w:rPr>
        <w:rFonts w:ascii="Arial" w:hAnsi="Arial" w:hint="default"/>
      </w:rPr>
    </w:lvl>
    <w:lvl w:ilvl="3" w:tplc="86944698" w:tentative="1">
      <w:start w:val="1"/>
      <w:numFmt w:val="bullet"/>
      <w:lvlText w:val="•"/>
      <w:lvlJc w:val="left"/>
      <w:pPr>
        <w:tabs>
          <w:tab w:val="num" w:pos="2880"/>
        </w:tabs>
        <w:ind w:left="2880" w:hanging="360"/>
      </w:pPr>
      <w:rPr>
        <w:rFonts w:ascii="Arial" w:hAnsi="Arial" w:hint="default"/>
      </w:rPr>
    </w:lvl>
    <w:lvl w:ilvl="4" w:tplc="B074ED22" w:tentative="1">
      <w:start w:val="1"/>
      <w:numFmt w:val="bullet"/>
      <w:lvlText w:val="•"/>
      <w:lvlJc w:val="left"/>
      <w:pPr>
        <w:tabs>
          <w:tab w:val="num" w:pos="3600"/>
        </w:tabs>
        <w:ind w:left="3600" w:hanging="360"/>
      </w:pPr>
      <w:rPr>
        <w:rFonts w:ascii="Arial" w:hAnsi="Arial" w:hint="default"/>
      </w:rPr>
    </w:lvl>
    <w:lvl w:ilvl="5" w:tplc="E4EE0416" w:tentative="1">
      <w:start w:val="1"/>
      <w:numFmt w:val="bullet"/>
      <w:lvlText w:val="•"/>
      <w:lvlJc w:val="left"/>
      <w:pPr>
        <w:tabs>
          <w:tab w:val="num" w:pos="4320"/>
        </w:tabs>
        <w:ind w:left="4320" w:hanging="360"/>
      </w:pPr>
      <w:rPr>
        <w:rFonts w:ascii="Arial" w:hAnsi="Arial" w:hint="default"/>
      </w:rPr>
    </w:lvl>
    <w:lvl w:ilvl="6" w:tplc="41E67120" w:tentative="1">
      <w:start w:val="1"/>
      <w:numFmt w:val="bullet"/>
      <w:lvlText w:val="•"/>
      <w:lvlJc w:val="left"/>
      <w:pPr>
        <w:tabs>
          <w:tab w:val="num" w:pos="5040"/>
        </w:tabs>
        <w:ind w:left="5040" w:hanging="360"/>
      </w:pPr>
      <w:rPr>
        <w:rFonts w:ascii="Arial" w:hAnsi="Arial" w:hint="default"/>
      </w:rPr>
    </w:lvl>
    <w:lvl w:ilvl="7" w:tplc="7B44690C" w:tentative="1">
      <w:start w:val="1"/>
      <w:numFmt w:val="bullet"/>
      <w:lvlText w:val="•"/>
      <w:lvlJc w:val="left"/>
      <w:pPr>
        <w:tabs>
          <w:tab w:val="num" w:pos="5760"/>
        </w:tabs>
        <w:ind w:left="5760" w:hanging="360"/>
      </w:pPr>
      <w:rPr>
        <w:rFonts w:ascii="Arial" w:hAnsi="Arial" w:hint="default"/>
      </w:rPr>
    </w:lvl>
    <w:lvl w:ilvl="8" w:tplc="699C1396" w:tentative="1">
      <w:start w:val="1"/>
      <w:numFmt w:val="bullet"/>
      <w:lvlText w:val="•"/>
      <w:lvlJc w:val="left"/>
      <w:pPr>
        <w:tabs>
          <w:tab w:val="num" w:pos="6480"/>
        </w:tabs>
        <w:ind w:left="6480" w:hanging="360"/>
      </w:pPr>
      <w:rPr>
        <w:rFonts w:ascii="Arial" w:hAnsi="Arial" w:hint="default"/>
      </w:rPr>
    </w:lvl>
  </w:abstractNum>
  <w:abstractNum w:abstractNumId="41">
    <w:nsid w:val="76C41F39"/>
    <w:multiLevelType w:val="hybridMultilevel"/>
    <w:tmpl w:val="17927DFA"/>
    <w:lvl w:ilvl="0" w:tplc="56DED6F8">
      <w:start w:val="1"/>
      <w:numFmt w:val="bullet"/>
      <w:lvlText w:val="•"/>
      <w:lvlJc w:val="left"/>
      <w:pPr>
        <w:tabs>
          <w:tab w:val="num" w:pos="720"/>
        </w:tabs>
        <w:ind w:left="720" w:hanging="360"/>
      </w:pPr>
      <w:rPr>
        <w:rFonts w:ascii="Arial" w:hAnsi="Arial" w:hint="default"/>
      </w:rPr>
    </w:lvl>
    <w:lvl w:ilvl="1" w:tplc="69AE9F66" w:tentative="1">
      <w:start w:val="1"/>
      <w:numFmt w:val="bullet"/>
      <w:lvlText w:val="•"/>
      <w:lvlJc w:val="left"/>
      <w:pPr>
        <w:tabs>
          <w:tab w:val="num" w:pos="1440"/>
        </w:tabs>
        <w:ind w:left="1440" w:hanging="360"/>
      </w:pPr>
      <w:rPr>
        <w:rFonts w:ascii="Arial" w:hAnsi="Arial" w:hint="default"/>
      </w:rPr>
    </w:lvl>
    <w:lvl w:ilvl="2" w:tplc="8A6E2542" w:tentative="1">
      <w:start w:val="1"/>
      <w:numFmt w:val="bullet"/>
      <w:lvlText w:val="•"/>
      <w:lvlJc w:val="left"/>
      <w:pPr>
        <w:tabs>
          <w:tab w:val="num" w:pos="2160"/>
        </w:tabs>
        <w:ind w:left="2160" w:hanging="360"/>
      </w:pPr>
      <w:rPr>
        <w:rFonts w:ascii="Arial" w:hAnsi="Arial" w:hint="default"/>
      </w:rPr>
    </w:lvl>
    <w:lvl w:ilvl="3" w:tplc="C2F840B4" w:tentative="1">
      <w:start w:val="1"/>
      <w:numFmt w:val="bullet"/>
      <w:lvlText w:val="•"/>
      <w:lvlJc w:val="left"/>
      <w:pPr>
        <w:tabs>
          <w:tab w:val="num" w:pos="2880"/>
        </w:tabs>
        <w:ind w:left="2880" w:hanging="360"/>
      </w:pPr>
      <w:rPr>
        <w:rFonts w:ascii="Arial" w:hAnsi="Arial" w:hint="default"/>
      </w:rPr>
    </w:lvl>
    <w:lvl w:ilvl="4" w:tplc="8F0C4B42" w:tentative="1">
      <w:start w:val="1"/>
      <w:numFmt w:val="bullet"/>
      <w:lvlText w:val="•"/>
      <w:lvlJc w:val="left"/>
      <w:pPr>
        <w:tabs>
          <w:tab w:val="num" w:pos="3600"/>
        </w:tabs>
        <w:ind w:left="3600" w:hanging="360"/>
      </w:pPr>
      <w:rPr>
        <w:rFonts w:ascii="Arial" w:hAnsi="Arial" w:hint="default"/>
      </w:rPr>
    </w:lvl>
    <w:lvl w:ilvl="5" w:tplc="A6C41BAA" w:tentative="1">
      <w:start w:val="1"/>
      <w:numFmt w:val="bullet"/>
      <w:lvlText w:val="•"/>
      <w:lvlJc w:val="left"/>
      <w:pPr>
        <w:tabs>
          <w:tab w:val="num" w:pos="4320"/>
        </w:tabs>
        <w:ind w:left="4320" w:hanging="360"/>
      </w:pPr>
      <w:rPr>
        <w:rFonts w:ascii="Arial" w:hAnsi="Arial" w:hint="default"/>
      </w:rPr>
    </w:lvl>
    <w:lvl w:ilvl="6" w:tplc="9F46C756" w:tentative="1">
      <w:start w:val="1"/>
      <w:numFmt w:val="bullet"/>
      <w:lvlText w:val="•"/>
      <w:lvlJc w:val="left"/>
      <w:pPr>
        <w:tabs>
          <w:tab w:val="num" w:pos="5040"/>
        </w:tabs>
        <w:ind w:left="5040" w:hanging="360"/>
      </w:pPr>
      <w:rPr>
        <w:rFonts w:ascii="Arial" w:hAnsi="Arial" w:hint="default"/>
      </w:rPr>
    </w:lvl>
    <w:lvl w:ilvl="7" w:tplc="EBC6CEB2" w:tentative="1">
      <w:start w:val="1"/>
      <w:numFmt w:val="bullet"/>
      <w:lvlText w:val="•"/>
      <w:lvlJc w:val="left"/>
      <w:pPr>
        <w:tabs>
          <w:tab w:val="num" w:pos="5760"/>
        </w:tabs>
        <w:ind w:left="5760" w:hanging="360"/>
      </w:pPr>
      <w:rPr>
        <w:rFonts w:ascii="Arial" w:hAnsi="Arial" w:hint="default"/>
      </w:rPr>
    </w:lvl>
    <w:lvl w:ilvl="8" w:tplc="12B275BE" w:tentative="1">
      <w:start w:val="1"/>
      <w:numFmt w:val="bullet"/>
      <w:lvlText w:val="•"/>
      <w:lvlJc w:val="left"/>
      <w:pPr>
        <w:tabs>
          <w:tab w:val="num" w:pos="6480"/>
        </w:tabs>
        <w:ind w:left="6480" w:hanging="360"/>
      </w:pPr>
      <w:rPr>
        <w:rFonts w:ascii="Arial" w:hAnsi="Arial" w:hint="default"/>
      </w:rPr>
    </w:lvl>
  </w:abstractNum>
  <w:abstractNum w:abstractNumId="42">
    <w:nsid w:val="780823FF"/>
    <w:multiLevelType w:val="hybridMultilevel"/>
    <w:tmpl w:val="3A10CFAE"/>
    <w:lvl w:ilvl="0" w:tplc="0C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7A155364"/>
    <w:multiLevelType w:val="hybridMultilevel"/>
    <w:tmpl w:val="824CFCDE"/>
    <w:lvl w:ilvl="0" w:tplc="6F2C452E">
      <w:start w:val="1"/>
      <w:numFmt w:val="decimal"/>
      <w:lvlText w:val="%1."/>
      <w:lvlJc w:val="left"/>
      <w:pPr>
        <w:ind w:left="644" w:hanging="360"/>
      </w:pPr>
      <w:rPr>
        <w:b w:val="0"/>
        <w:color w:val="auto"/>
      </w:rPr>
    </w:lvl>
    <w:lvl w:ilvl="1" w:tplc="240A0019">
      <w:start w:val="1"/>
      <w:numFmt w:val="lowerLetter"/>
      <w:lvlText w:val="%2."/>
      <w:lvlJc w:val="left"/>
      <w:pPr>
        <w:ind w:left="1364" w:hanging="360"/>
      </w:pPr>
    </w:lvl>
    <w:lvl w:ilvl="2" w:tplc="240A001B">
      <w:start w:val="1"/>
      <w:numFmt w:val="lowerRoman"/>
      <w:lvlText w:val="%3."/>
      <w:lvlJc w:val="right"/>
      <w:pPr>
        <w:ind w:left="2084" w:hanging="180"/>
      </w:pPr>
    </w:lvl>
    <w:lvl w:ilvl="3" w:tplc="240A000F">
      <w:start w:val="1"/>
      <w:numFmt w:val="decimal"/>
      <w:lvlText w:val="%4."/>
      <w:lvlJc w:val="left"/>
      <w:pPr>
        <w:ind w:left="2804" w:hanging="360"/>
      </w:pPr>
    </w:lvl>
    <w:lvl w:ilvl="4" w:tplc="240A0019">
      <w:start w:val="1"/>
      <w:numFmt w:val="lowerLetter"/>
      <w:lvlText w:val="%5."/>
      <w:lvlJc w:val="left"/>
      <w:pPr>
        <w:ind w:left="3524" w:hanging="360"/>
      </w:pPr>
    </w:lvl>
    <w:lvl w:ilvl="5" w:tplc="240A001B">
      <w:start w:val="1"/>
      <w:numFmt w:val="lowerRoman"/>
      <w:lvlText w:val="%6."/>
      <w:lvlJc w:val="right"/>
      <w:pPr>
        <w:ind w:left="4244" w:hanging="180"/>
      </w:pPr>
    </w:lvl>
    <w:lvl w:ilvl="6" w:tplc="240A000F">
      <w:start w:val="1"/>
      <w:numFmt w:val="decimal"/>
      <w:lvlText w:val="%7."/>
      <w:lvlJc w:val="left"/>
      <w:pPr>
        <w:ind w:left="4964" w:hanging="360"/>
      </w:pPr>
    </w:lvl>
    <w:lvl w:ilvl="7" w:tplc="240A0019">
      <w:start w:val="1"/>
      <w:numFmt w:val="lowerLetter"/>
      <w:lvlText w:val="%8."/>
      <w:lvlJc w:val="left"/>
      <w:pPr>
        <w:ind w:left="5684" w:hanging="360"/>
      </w:pPr>
    </w:lvl>
    <w:lvl w:ilvl="8" w:tplc="240A001B">
      <w:start w:val="1"/>
      <w:numFmt w:val="lowerRoman"/>
      <w:lvlText w:val="%9."/>
      <w:lvlJc w:val="right"/>
      <w:pPr>
        <w:ind w:left="6404" w:hanging="180"/>
      </w:pPr>
    </w:lvl>
  </w:abstractNum>
  <w:abstractNum w:abstractNumId="44">
    <w:nsid w:val="7EBD5B91"/>
    <w:multiLevelType w:val="hybridMultilevel"/>
    <w:tmpl w:val="5B7061D2"/>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7"/>
  </w:num>
  <w:num w:numId="3">
    <w:abstractNumId w:val="11"/>
  </w:num>
  <w:num w:numId="4">
    <w:abstractNumId w:val="39"/>
  </w:num>
  <w:num w:numId="5">
    <w:abstractNumId w:val="13"/>
  </w:num>
  <w:num w:numId="6">
    <w:abstractNumId w:val="2"/>
  </w:num>
  <w:num w:numId="7">
    <w:abstractNumId w:val="8"/>
  </w:num>
  <w:num w:numId="8">
    <w:abstractNumId w:val="44"/>
  </w:num>
  <w:num w:numId="9">
    <w:abstractNumId w:val="29"/>
  </w:num>
  <w:num w:numId="10">
    <w:abstractNumId w:val="3"/>
  </w:num>
  <w:num w:numId="11">
    <w:abstractNumId w:val="7"/>
  </w:num>
  <w:num w:numId="12">
    <w:abstractNumId w:val="34"/>
  </w:num>
  <w:num w:numId="13">
    <w:abstractNumId w:val="32"/>
  </w:num>
  <w:num w:numId="14">
    <w:abstractNumId w:val="31"/>
  </w:num>
  <w:num w:numId="15">
    <w:abstractNumId w:val="9"/>
  </w:num>
  <w:num w:numId="16">
    <w:abstractNumId w:val="20"/>
  </w:num>
  <w:num w:numId="17">
    <w:abstractNumId w:val="26"/>
  </w:num>
  <w:num w:numId="18">
    <w:abstractNumId w:val="0"/>
  </w:num>
  <w:num w:numId="19">
    <w:abstractNumId w:val="37"/>
  </w:num>
  <w:num w:numId="20">
    <w:abstractNumId w:val="28"/>
  </w:num>
  <w:num w:numId="21">
    <w:abstractNumId w:val="25"/>
  </w:num>
  <w:num w:numId="22">
    <w:abstractNumId w:val="23"/>
  </w:num>
  <w:num w:numId="23">
    <w:abstractNumId w:val="22"/>
  </w:num>
  <w:num w:numId="24">
    <w:abstractNumId w:val="21"/>
  </w:num>
  <w:num w:numId="25">
    <w:abstractNumId w:val="35"/>
  </w:num>
  <w:num w:numId="26">
    <w:abstractNumId w:val="10"/>
  </w:num>
  <w:num w:numId="27">
    <w:abstractNumId w:val="38"/>
  </w:num>
  <w:num w:numId="28">
    <w:abstractNumId w:val="15"/>
  </w:num>
  <w:num w:numId="29">
    <w:abstractNumId w:val="1"/>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43"/>
  </w:num>
  <w:num w:numId="33">
    <w:abstractNumId w:val="42"/>
  </w:num>
  <w:num w:numId="34">
    <w:abstractNumId w:val="41"/>
  </w:num>
  <w:num w:numId="35">
    <w:abstractNumId w:val="40"/>
  </w:num>
  <w:num w:numId="36">
    <w:abstractNumId w:val="17"/>
  </w:num>
  <w:num w:numId="37">
    <w:abstractNumId w:val="18"/>
  </w:num>
  <w:num w:numId="38">
    <w:abstractNumId w:val="36"/>
  </w:num>
  <w:num w:numId="39">
    <w:abstractNumId w:val="30"/>
  </w:num>
  <w:num w:numId="40">
    <w:abstractNumId w:val="19"/>
  </w:num>
  <w:num w:numId="41">
    <w:abstractNumId w:val="4"/>
  </w:num>
  <w:num w:numId="42">
    <w:abstractNumId w:val="6"/>
  </w:num>
  <w:num w:numId="43">
    <w:abstractNumId w:val="5"/>
  </w:num>
  <w:num w:numId="44">
    <w:abstractNumId w:val="14"/>
  </w:num>
  <w:num w:numId="45">
    <w:abstractNumId w:val="1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CO"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982"/>
    <w:rsid w:val="00071204"/>
    <w:rsid w:val="00091A58"/>
    <w:rsid w:val="000C0D95"/>
    <w:rsid w:val="000F63D0"/>
    <w:rsid w:val="001600B6"/>
    <w:rsid w:val="001C1D6C"/>
    <w:rsid w:val="001D7B39"/>
    <w:rsid w:val="00210DC6"/>
    <w:rsid w:val="00271F5E"/>
    <w:rsid w:val="002746B7"/>
    <w:rsid w:val="002B4B2C"/>
    <w:rsid w:val="002F41A8"/>
    <w:rsid w:val="003030A6"/>
    <w:rsid w:val="00360B9A"/>
    <w:rsid w:val="00365260"/>
    <w:rsid w:val="003A1C66"/>
    <w:rsid w:val="003D7F40"/>
    <w:rsid w:val="00420D72"/>
    <w:rsid w:val="00461F2A"/>
    <w:rsid w:val="00467390"/>
    <w:rsid w:val="0049710E"/>
    <w:rsid w:val="005509C7"/>
    <w:rsid w:val="005978AB"/>
    <w:rsid w:val="005B714B"/>
    <w:rsid w:val="005C3DA4"/>
    <w:rsid w:val="005C6DF6"/>
    <w:rsid w:val="005D265C"/>
    <w:rsid w:val="00633064"/>
    <w:rsid w:val="00672ADB"/>
    <w:rsid w:val="006D04FE"/>
    <w:rsid w:val="006D5A67"/>
    <w:rsid w:val="00715982"/>
    <w:rsid w:val="00754657"/>
    <w:rsid w:val="007B4EFC"/>
    <w:rsid w:val="007B66D2"/>
    <w:rsid w:val="00800859"/>
    <w:rsid w:val="008661E3"/>
    <w:rsid w:val="00912E5A"/>
    <w:rsid w:val="00967F3F"/>
    <w:rsid w:val="009A7D9D"/>
    <w:rsid w:val="009E5783"/>
    <w:rsid w:val="009F734F"/>
    <w:rsid w:val="00A231EA"/>
    <w:rsid w:val="00A6398E"/>
    <w:rsid w:val="00A87633"/>
    <w:rsid w:val="00AB039D"/>
    <w:rsid w:val="00AD5582"/>
    <w:rsid w:val="00AE39A6"/>
    <w:rsid w:val="00B1494B"/>
    <w:rsid w:val="00BB457B"/>
    <w:rsid w:val="00BC5F7B"/>
    <w:rsid w:val="00CE0771"/>
    <w:rsid w:val="00DE2427"/>
    <w:rsid w:val="00E0768F"/>
    <w:rsid w:val="00E173FF"/>
    <w:rsid w:val="00E20275"/>
    <w:rsid w:val="00E443E6"/>
    <w:rsid w:val="00EB18A5"/>
    <w:rsid w:val="00F5471F"/>
    <w:rsid w:val="00FC0318"/>
    <w:rsid w:val="00FC6B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99BB5-4FE0-3D4A-A4EB-A1651DD8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14B"/>
    <w:pPr>
      <w:spacing w:after="200" w:line="276" w:lineRule="auto"/>
    </w:pPr>
    <w:rPr>
      <w:sz w:val="22"/>
      <w:szCs w:val="22"/>
      <w:lang w:val="es-MX" w:eastAsia="en-US"/>
    </w:rPr>
  </w:style>
  <w:style w:type="paragraph" w:styleId="Ttulo1">
    <w:name w:val="heading 1"/>
    <w:basedOn w:val="Normal"/>
    <w:next w:val="Normal"/>
    <w:link w:val="Ttulo1Car"/>
    <w:qFormat/>
    <w:rsid w:val="007B66D2"/>
    <w:pPr>
      <w:keepNext/>
      <w:spacing w:before="240" w:after="60"/>
      <w:outlineLvl w:val="0"/>
    </w:pPr>
    <w:rPr>
      <w:rFonts w:ascii="Cambria" w:eastAsia="Times New Roman" w:hAnsi="Cambria"/>
      <w:b/>
      <w:bCs/>
      <w:kern w:val="32"/>
      <w:sz w:val="32"/>
      <w:szCs w:val="32"/>
    </w:rPr>
  </w:style>
  <w:style w:type="paragraph" w:styleId="Ttulo4">
    <w:name w:val="heading 4"/>
    <w:basedOn w:val="Normal"/>
    <w:next w:val="Normal"/>
    <w:link w:val="Ttulo4Car"/>
    <w:uiPriority w:val="9"/>
    <w:unhideWhenUsed/>
    <w:qFormat/>
    <w:rsid w:val="007B66D2"/>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B66D2"/>
    <w:rPr>
      <w:rFonts w:ascii="Cambria" w:eastAsia="Times New Roman" w:hAnsi="Cambria"/>
      <w:b/>
      <w:bCs/>
      <w:kern w:val="32"/>
      <w:sz w:val="32"/>
      <w:szCs w:val="32"/>
      <w:lang w:eastAsia="en-US"/>
    </w:rPr>
  </w:style>
  <w:style w:type="character" w:customStyle="1" w:styleId="Ttulo4Car">
    <w:name w:val="Título 4 Car"/>
    <w:basedOn w:val="Fuentedeprrafopredeter"/>
    <w:link w:val="Ttulo4"/>
    <w:uiPriority w:val="9"/>
    <w:rsid w:val="007B66D2"/>
    <w:rPr>
      <w:rFonts w:eastAsia="Times New Roman"/>
      <w:b/>
      <w:bCs/>
      <w:sz w:val="28"/>
      <w:szCs w:val="28"/>
      <w:lang w:eastAsia="en-US"/>
    </w:rPr>
  </w:style>
  <w:style w:type="character" w:styleId="Hipervnculo">
    <w:name w:val="Hyperlink"/>
    <w:basedOn w:val="Fuentedeprrafopredeter"/>
    <w:uiPriority w:val="99"/>
    <w:unhideWhenUsed/>
    <w:rsid w:val="007B66D2"/>
    <w:rPr>
      <w:color w:val="0000FF"/>
      <w:u w:val="single"/>
    </w:rPr>
  </w:style>
  <w:style w:type="paragraph" w:styleId="Prrafodelista">
    <w:name w:val="List Paragraph"/>
    <w:basedOn w:val="Normal"/>
    <w:uiPriority w:val="34"/>
    <w:qFormat/>
    <w:rsid w:val="007B66D2"/>
    <w:pPr>
      <w:ind w:left="720"/>
      <w:contextualSpacing/>
    </w:pPr>
    <w:rPr>
      <w:lang w:val="en-US"/>
    </w:rPr>
  </w:style>
  <w:style w:type="paragraph" w:styleId="Sinespaciado">
    <w:name w:val="No Spacing"/>
    <w:uiPriority w:val="1"/>
    <w:qFormat/>
    <w:rsid w:val="007B66D2"/>
    <w:rPr>
      <w:sz w:val="22"/>
      <w:szCs w:val="22"/>
      <w:lang w:eastAsia="en-US"/>
    </w:rPr>
  </w:style>
  <w:style w:type="paragraph" w:styleId="NormalWeb">
    <w:name w:val="Normal (Web)"/>
    <w:basedOn w:val="Normal"/>
    <w:uiPriority w:val="99"/>
    <w:unhideWhenUsed/>
    <w:rsid w:val="007B66D2"/>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Encabezado">
    <w:name w:val="header"/>
    <w:basedOn w:val="Normal"/>
    <w:link w:val="EncabezadoCar"/>
    <w:uiPriority w:val="99"/>
    <w:unhideWhenUsed/>
    <w:rsid w:val="007B66D2"/>
    <w:pPr>
      <w:tabs>
        <w:tab w:val="center" w:pos="4419"/>
        <w:tab w:val="right" w:pos="8838"/>
      </w:tabs>
      <w:spacing w:after="0" w:line="240" w:lineRule="auto"/>
    </w:pPr>
    <w:rPr>
      <w:lang w:val="en-US"/>
    </w:rPr>
  </w:style>
  <w:style w:type="character" w:customStyle="1" w:styleId="EncabezadoCar">
    <w:name w:val="Encabezado Car"/>
    <w:basedOn w:val="Fuentedeprrafopredeter"/>
    <w:link w:val="Encabezado"/>
    <w:uiPriority w:val="99"/>
    <w:rsid w:val="007B66D2"/>
    <w:rPr>
      <w:sz w:val="22"/>
      <w:szCs w:val="22"/>
      <w:lang w:val="en-US" w:eastAsia="en-US"/>
    </w:rPr>
  </w:style>
  <w:style w:type="paragraph" w:styleId="Piedepgina">
    <w:name w:val="footer"/>
    <w:basedOn w:val="Normal"/>
    <w:link w:val="PiedepginaCar"/>
    <w:uiPriority w:val="99"/>
    <w:unhideWhenUsed/>
    <w:rsid w:val="007B66D2"/>
    <w:pPr>
      <w:tabs>
        <w:tab w:val="center" w:pos="4419"/>
        <w:tab w:val="right" w:pos="8838"/>
      </w:tabs>
      <w:spacing w:after="0" w:line="240" w:lineRule="auto"/>
    </w:pPr>
    <w:rPr>
      <w:lang w:val="en-US"/>
    </w:rPr>
  </w:style>
  <w:style w:type="character" w:customStyle="1" w:styleId="PiedepginaCar">
    <w:name w:val="Pie de página Car"/>
    <w:basedOn w:val="Fuentedeprrafopredeter"/>
    <w:link w:val="Piedepgina"/>
    <w:uiPriority w:val="99"/>
    <w:rsid w:val="007B66D2"/>
    <w:rPr>
      <w:sz w:val="22"/>
      <w:szCs w:val="22"/>
      <w:lang w:val="en-US" w:eastAsia="en-US"/>
    </w:rPr>
  </w:style>
  <w:style w:type="character" w:customStyle="1" w:styleId="article-headermeta-info-label">
    <w:name w:val="article-header__meta-info-label"/>
    <w:rsid w:val="007B66D2"/>
  </w:style>
  <w:style w:type="character" w:customStyle="1" w:styleId="post-author-name">
    <w:name w:val="post-author-name"/>
    <w:rsid w:val="007B66D2"/>
  </w:style>
  <w:style w:type="character" w:customStyle="1" w:styleId="time">
    <w:name w:val="time"/>
    <w:rsid w:val="007B66D2"/>
  </w:style>
  <w:style w:type="character" w:customStyle="1" w:styleId="label">
    <w:name w:val="label"/>
    <w:rsid w:val="007B66D2"/>
  </w:style>
  <w:style w:type="character" w:customStyle="1" w:styleId="elsevieritemautor">
    <w:name w:val="elsevieritemautor"/>
    <w:basedOn w:val="Fuentedeprrafopredeter"/>
    <w:rsid w:val="007B66D2"/>
  </w:style>
  <w:style w:type="character" w:customStyle="1" w:styleId="volumen">
    <w:name w:val="volumen"/>
    <w:basedOn w:val="Fuentedeprrafopredeter"/>
    <w:rsid w:val="007B66D2"/>
  </w:style>
  <w:style w:type="character" w:customStyle="1" w:styleId="paginas">
    <w:name w:val="paginas"/>
    <w:basedOn w:val="Fuentedeprrafopredeter"/>
    <w:rsid w:val="007B66D2"/>
  </w:style>
  <w:style w:type="character" w:customStyle="1" w:styleId="fecha-trans">
    <w:name w:val="fecha-trans"/>
    <w:basedOn w:val="Fuentedeprrafopredeter"/>
    <w:rsid w:val="007B66D2"/>
  </w:style>
  <w:style w:type="character" w:styleId="Refdecomentario">
    <w:name w:val="annotation reference"/>
    <w:uiPriority w:val="99"/>
    <w:semiHidden/>
    <w:unhideWhenUsed/>
    <w:rsid w:val="00210DC6"/>
    <w:rPr>
      <w:sz w:val="16"/>
      <w:szCs w:val="16"/>
    </w:rPr>
  </w:style>
  <w:style w:type="paragraph" w:styleId="Textocomentario">
    <w:name w:val="annotation text"/>
    <w:basedOn w:val="Normal"/>
    <w:link w:val="TextocomentarioCar"/>
    <w:uiPriority w:val="99"/>
    <w:semiHidden/>
    <w:unhideWhenUsed/>
    <w:rsid w:val="00210DC6"/>
    <w:rPr>
      <w:sz w:val="20"/>
      <w:szCs w:val="20"/>
      <w:lang w:val="en-US"/>
    </w:rPr>
  </w:style>
  <w:style w:type="character" w:customStyle="1" w:styleId="TextocomentarioCar">
    <w:name w:val="Texto comentario Car"/>
    <w:basedOn w:val="Fuentedeprrafopredeter"/>
    <w:link w:val="Textocomentario"/>
    <w:uiPriority w:val="99"/>
    <w:semiHidden/>
    <w:rsid w:val="00210DC6"/>
    <w:rPr>
      <w:lang w:val="en-US" w:eastAsia="en-US"/>
    </w:rPr>
  </w:style>
  <w:style w:type="paragraph" w:styleId="Textodeglobo">
    <w:name w:val="Balloon Text"/>
    <w:basedOn w:val="Normal"/>
    <w:link w:val="TextodegloboCar"/>
    <w:uiPriority w:val="99"/>
    <w:semiHidden/>
    <w:unhideWhenUsed/>
    <w:rsid w:val="00210D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DC6"/>
    <w:rPr>
      <w:rFonts w:ascii="Tahoma" w:hAnsi="Tahoma" w:cs="Tahoma"/>
      <w:sz w:val="16"/>
      <w:szCs w:val="16"/>
      <w:lang w:eastAsia="en-US"/>
    </w:rPr>
  </w:style>
  <w:style w:type="character" w:customStyle="1" w:styleId="UnresolvedMention">
    <w:name w:val="Unresolved Mention"/>
    <w:basedOn w:val="Fuentedeprrafopredeter"/>
    <w:uiPriority w:val="99"/>
    <w:semiHidden/>
    <w:unhideWhenUsed/>
    <w:rsid w:val="009E5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80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gac@nauta.cu" TargetMode="External"/><Relationship Id="rId3" Type="http://schemas.openxmlformats.org/officeDocument/2006/relationships/styles" Target="styles.xml"/><Relationship Id="rId7" Type="http://schemas.openxmlformats.org/officeDocument/2006/relationships/hyperlink" Target="https://orcid.org/0000-0001-8765-5226"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rcid.org/0000-0003-3260-1356"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uv.mx/blogs/favem2014" TargetMode="Externa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60F68-458B-451E-A474-802D9BD35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22</Pages>
  <Words>5426</Words>
  <Characters>29847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35203</CharactersWithSpaces>
  <SharedDoc>false</SharedDoc>
  <HLinks>
    <vt:vector size="18" baseType="variant">
      <vt:variant>
        <vt:i4>983111</vt:i4>
      </vt:variant>
      <vt:variant>
        <vt:i4>6</vt:i4>
      </vt:variant>
      <vt:variant>
        <vt:i4>0</vt:i4>
      </vt:variant>
      <vt:variant>
        <vt:i4>5</vt:i4>
      </vt:variant>
      <vt:variant>
        <vt:lpwstr>http://www.uv.mx/blogs/favem2014</vt:lpwstr>
      </vt:variant>
      <vt:variant>
        <vt:lpwstr/>
      </vt:variant>
      <vt:variant>
        <vt:i4>5308445</vt:i4>
      </vt:variant>
      <vt:variant>
        <vt:i4>3</vt:i4>
      </vt:variant>
      <vt:variant>
        <vt:i4>0</vt:i4>
      </vt:variant>
      <vt:variant>
        <vt:i4>5</vt:i4>
      </vt:variant>
      <vt:variant>
        <vt:lpwstr>https://orcid.org/0000-0001-8765-5226</vt:lpwstr>
      </vt:variant>
      <vt:variant>
        <vt:lpwstr/>
      </vt:variant>
      <vt:variant>
        <vt:i4>5373973</vt:i4>
      </vt:variant>
      <vt:variant>
        <vt:i4>0</vt:i4>
      </vt:variant>
      <vt:variant>
        <vt:i4>0</vt:i4>
      </vt:variant>
      <vt:variant>
        <vt:i4>5</vt:i4>
      </vt:variant>
      <vt:variant>
        <vt:lpwstr>https://orcid.org/0000-0003-3260-1356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Nathaliet</dc:creator>
  <cp:keywords/>
  <cp:lastModifiedBy>RACK</cp:lastModifiedBy>
  <cp:revision>21</cp:revision>
  <dcterms:created xsi:type="dcterms:W3CDTF">2022-09-30T22:57:00Z</dcterms:created>
  <dcterms:modified xsi:type="dcterms:W3CDTF">2022-10-01T01:11:00Z</dcterms:modified>
</cp:coreProperties>
</file>