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4D6" w:rsidRDefault="00E01129" w:rsidP="00593074">
      <w:pPr>
        <w:spacing w:after="0" w:line="360" w:lineRule="auto"/>
        <w:jc w:val="both"/>
        <w:rPr>
          <w:rFonts w:ascii="Arial" w:eastAsia="Arial" w:hAnsi="Arial" w:cs="Arial"/>
          <w:sz w:val="24"/>
          <w:szCs w:val="24"/>
        </w:rPr>
      </w:pPr>
      <w:bookmarkStart w:id="0" w:name="_GoBack"/>
      <w:bookmarkEnd w:id="0"/>
      <w:r w:rsidRPr="00E01129">
        <w:rPr>
          <w:rFonts w:ascii="Arial" w:eastAsia="Arial" w:hAnsi="Arial" w:cs="Arial"/>
          <w:b/>
          <w:sz w:val="24"/>
          <w:szCs w:val="24"/>
        </w:rPr>
        <w:t>Predicción de la disfunción ventricular a medio plazo en el posoperatorio de la insuficiencia mitral crónica</w:t>
      </w:r>
    </w:p>
    <w:p w:rsidR="00F254D6" w:rsidRDefault="00F254D6" w:rsidP="00593074">
      <w:pPr>
        <w:spacing w:after="0" w:line="360" w:lineRule="auto"/>
        <w:jc w:val="both"/>
        <w:rPr>
          <w:rFonts w:ascii="Arial" w:eastAsia="Arial" w:hAnsi="Arial" w:cs="Arial"/>
          <w:sz w:val="24"/>
          <w:szCs w:val="24"/>
        </w:rPr>
      </w:pPr>
    </w:p>
    <w:p w:rsidR="00593074" w:rsidRPr="00593074" w:rsidRDefault="00593074" w:rsidP="00593074">
      <w:pPr>
        <w:spacing w:after="0" w:line="360" w:lineRule="auto"/>
        <w:ind w:left="357"/>
        <w:contextualSpacing/>
        <w:jc w:val="both"/>
        <w:rPr>
          <w:rFonts w:ascii="Arial" w:hAnsi="Arial" w:cs="Arial"/>
          <w:sz w:val="24"/>
        </w:rPr>
      </w:pPr>
      <w:r w:rsidRPr="00593074">
        <w:rPr>
          <w:rFonts w:ascii="Arial" w:hAnsi="Arial" w:cs="Arial"/>
          <w:b/>
          <w:sz w:val="24"/>
        </w:rPr>
        <w:t>Autores:</w:t>
      </w:r>
      <w:r w:rsidRPr="00593074">
        <w:rPr>
          <w:rFonts w:ascii="Arial" w:hAnsi="Arial" w:cs="Arial"/>
          <w:sz w:val="24"/>
        </w:rPr>
        <w:t xml:space="preserve"> Dr. Alexander Valdés Martín </w:t>
      </w:r>
      <w:r w:rsidRPr="00593074">
        <w:rPr>
          <w:rFonts w:ascii="Arial" w:hAnsi="Arial" w:cs="Arial"/>
          <w:sz w:val="24"/>
          <w:vertAlign w:val="superscript"/>
        </w:rPr>
        <w:t>1*</w:t>
      </w:r>
    </w:p>
    <w:p w:rsidR="00593074" w:rsidRDefault="00593074" w:rsidP="00593074">
      <w:pPr>
        <w:spacing w:after="0" w:line="360" w:lineRule="auto"/>
        <w:ind w:left="357"/>
        <w:contextualSpacing/>
        <w:jc w:val="both"/>
        <w:rPr>
          <w:rFonts w:ascii="Arial" w:hAnsi="Arial" w:cs="Arial"/>
          <w:sz w:val="24"/>
        </w:rPr>
      </w:pPr>
      <w:r w:rsidRPr="00593074">
        <w:rPr>
          <w:rFonts w:ascii="Arial" w:hAnsi="Arial" w:cs="Arial"/>
          <w:sz w:val="24"/>
        </w:rPr>
        <w:t xml:space="preserve">                Dr. Luis Oscar </w:t>
      </w:r>
      <w:proofErr w:type="spellStart"/>
      <w:r w:rsidRPr="00593074">
        <w:rPr>
          <w:rFonts w:ascii="Arial" w:hAnsi="Arial" w:cs="Arial"/>
          <w:sz w:val="24"/>
        </w:rPr>
        <w:t>Dominguez</w:t>
      </w:r>
      <w:proofErr w:type="spellEnd"/>
      <w:r w:rsidRPr="00593074">
        <w:rPr>
          <w:rFonts w:ascii="Arial" w:hAnsi="Arial" w:cs="Arial"/>
          <w:sz w:val="24"/>
        </w:rPr>
        <w:t xml:space="preserve"> </w:t>
      </w:r>
      <w:proofErr w:type="spellStart"/>
      <w:r w:rsidRPr="00593074">
        <w:rPr>
          <w:rFonts w:ascii="Arial" w:hAnsi="Arial" w:cs="Arial"/>
          <w:sz w:val="24"/>
        </w:rPr>
        <w:t>Choy</w:t>
      </w:r>
      <w:proofErr w:type="spellEnd"/>
      <w:r w:rsidRPr="00593074">
        <w:rPr>
          <w:rFonts w:ascii="Arial" w:hAnsi="Arial" w:cs="Arial"/>
          <w:sz w:val="24"/>
        </w:rPr>
        <w:t xml:space="preserve"> </w:t>
      </w:r>
      <w:r w:rsidRPr="00593074">
        <w:rPr>
          <w:rFonts w:ascii="Arial" w:hAnsi="Arial" w:cs="Arial"/>
          <w:sz w:val="24"/>
          <w:vertAlign w:val="superscript"/>
        </w:rPr>
        <w:t>1</w:t>
      </w:r>
    </w:p>
    <w:p w:rsidR="00593074" w:rsidRPr="00593074" w:rsidRDefault="00593074" w:rsidP="00593074">
      <w:pPr>
        <w:spacing w:after="0" w:line="360" w:lineRule="auto"/>
        <w:ind w:left="357"/>
        <w:contextualSpacing/>
        <w:jc w:val="both"/>
        <w:rPr>
          <w:rFonts w:ascii="Arial" w:hAnsi="Arial" w:cs="Arial"/>
          <w:sz w:val="24"/>
          <w:vertAlign w:val="superscript"/>
        </w:rPr>
      </w:pPr>
      <w:r w:rsidRPr="00593074">
        <w:rPr>
          <w:rFonts w:ascii="Arial" w:hAnsi="Arial" w:cs="Arial"/>
          <w:sz w:val="24"/>
        </w:rPr>
        <w:t xml:space="preserve">                Dr.</w:t>
      </w:r>
      <w:r>
        <w:rPr>
          <w:rFonts w:ascii="Arial" w:hAnsi="Arial" w:cs="Arial"/>
          <w:sz w:val="24"/>
        </w:rPr>
        <w:t xml:space="preserve"> César Cáceres </w:t>
      </w:r>
      <w:proofErr w:type="spellStart"/>
      <w:r>
        <w:rPr>
          <w:rFonts w:ascii="Arial" w:hAnsi="Arial" w:cs="Arial"/>
          <w:sz w:val="24"/>
        </w:rPr>
        <w:t>Roselio</w:t>
      </w:r>
      <w:proofErr w:type="spellEnd"/>
      <w:r w:rsidRPr="00593074">
        <w:rPr>
          <w:rFonts w:ascii="Arial" w:hAnsi="Arial" w:cs="Arial"/>
          <w:sz w:val="24"/>
        </w:rPr>
        <w:t xml:space="preserve"> </w:t>
      </w:r>
      <w:r w:rsidRPr="00593074">
        <w:rPr>
          <w:rFonts w:ascii="Arial" w:hAnsi="Arial" w:cs="Arial"/>
          <w:sz w:val="24"/>
          <w:vertAlign w:val="superscript"/>
        </w:rPr>
        <w:t>1</w:t>
      </w:r>
    </w:p>
    <w:p w:rsidR="00593074" w:rsidRPr="00593074" w:rsidRDefault="00593074" w:rsidP="00593074">
      <w:pPr>
        <w:pStyle w:val="Prrafodelista"/>
        <w:numPr>
          <w:ilvl w:val="0"/>
          <w:numId w:val="4"/>
        </w:numPr>
        <w:spacing w:after="0" w:line="360" w:lineRule="auto"/>
        <w:jc w:val="both"/>
        <w:rPr>
          <w:rFonts w:ascii="Arial" w:hAnsi="Arial" w:cs="Arial"/>
        </w:rPr>
      </w:pPr>
      <w:r w:rsidRPr="00593074">
        <w:rPr>
          <w:rFonts w:ascii="Arial" w:hAnsi="Arial" w:cs="Arial"/>
        </w:rPr>
        <w:t xml:space="preserve">Doctor en Medicina. Especialista de primer grado en Medicina General Integral y </w:t>
      </w:r>
      <w:r>
        <w:rPr>
          <w:rFonts w:ascii="Arial" w:hAnsi="Arial" w:cs="Arial"/>
        </w:rPr>
        <w:t xml:space="preserve">segundo grado </w:t>
      </w:r>
      <w:r w:rsidRPr="00593074">
        <w:rPr>
          <w:rFonts w:ascii="Arial" w:hAnsi="Arial" w:cs="Arial"/>
        </w:rPr>
        <w:t>en Cardiología. Profesor e investigador auxiliar. Jefe del Servicio de Hospitalización de Cirugía Cardiovascular. Instituto de Cardiología y Cirugía Cardiovascular, La Habana. Cuba.</w:t>
      </w:r>
    </w:p>
    <w:p w:rsidR="00593074" w:rsidRPr="00593074" w:rsidRDefault="00593074" w:rsidP="00593074">
      <w:pPr>
        <w:pStyle w:val="Prrafodelista"/>
        <w:numPr>
          <w:ilvl w:val="0"/>
          <w:numId w:val="4"/>
        </w:numPr>
        <w:spacing w:after="0" w:line="360" w:lineRule="auto"/>
        <w:jc w:val="both"/>
        <w:rPr>
          <w:rFonts w:ascii="Arial" w:hAnsi="Arial" w:cs="Arial"/>
        </w:rPr>
      </w:pPr>
      <w:r w:rsidRPr="00593074">
        <w:rPr>
          <w:rFonts w:ascii="Arial" w:hAnsi="Arial" w:cs="Arial"/>
        </w:rPr>
        <w:t>Doctor en Medicina. Residente de segundo año de Cardiología. Servicio de Cardiología. Instituto de Cardiología y Cirugía Cardiovascular, La Habana. Cuba.</w:t>
      </w:r>
    </w:p>
    <w:p w:rsidR="00593074" w:rsidRPr="00593074" w:rsidRDefault="00593074" w:rsidP="00593074">
      <w:pPr>
        <w:pStyle w:val="Prrafodelista"/>
        <w:numPr>
          <w:ilvl w:val="0"/>
          <w:numId w:val="4"/>
        </w:numPr>
        <w:spacing w:after="0" w:line="360" w:lineRule="auto"/>
        <w:jc w:val="both"/>
        <w:rPr>
          <w:rFonts w:ascii="Arial" w:hAnsi="Arial" w:cs="Arial"/>
        </w:rPr>
      </w:pPr>
      <w:r w:rsidRPr="00593074">
        <w:rPr>
          <w:rFonts w:ascii="Arial" w:hAnsi="Arial" w:cs="Arial"/>
        </w:rPr>
        <w:t xml:space="preserve">Doctor en Medicina. Especialista de primer grado en Medicina General Integral y en Cardiología. Servicio de </w:t>
      </w:r>
      <w:r>
        <w:rPr>
          <w:rFonts w:ascii="Arial" w:hAnsi="Arial" w:cs="Arial"/>
        </w:rPr>
        <w:t>Cardiología</w:t>
      </w:r>
      <w:r w:rsidRPr="00593074">
        <w:rPr>
          <w:rFonts w:ascii="Arial" w:hAnsi="Arial" w:cs="Arial"/>
        </w:rPr>
        <w:t>. Instituto de Cardiología y Cirugía Cardiovascular, La Habana. Cuba.</w:t>
      </w:r>
    </w:p>
    <w:p w:rsidR="00593074" w:rsidRDefault="00593074" w:rsidP="00593074">
      <w:pPr>
        <w:spacing w:after="0" w:line="360" w:lineRule="auto"/>
        <w:ind w:left="357"/>
        <w:jc w:val="both"/>
        <w:rPr>
          <w:rFonts w:ascii="Arial" w:hAnsi="Arial" w:cs="Arial"/>
        </w:rPr>
      </w:pPr>
      <w:r w:rsidRPr="00593074">
        <w:rPr>
          <w:rFonts w:ascii="Arial" w:hAnsi="Arial" w:cs="Arial"/>
        </w:rPr>
        <w:t xml:space="preserve">*Autor para correspondencia: Dr. </w:t>
      </w:r>
      <w:r>
        <w:rPr>
          <w:rFonts w:ascii="Arial" w:hAnsi="Arial" w:cs="Arial"/>
        </w:rPr>
        <w:t>Alexander Valdés Martín</w:t>
      </w:r>
      <w:r w:rsidRPr="00593074">
        <w:rPr>
          <w:rFonts w:ascii="Arial" w:hAnsi="Arial" w:cs="Arial"/>
        </w:rPr>
        <w:t xml:space="preserve">. Instituto de Cardiología y Cirugía Cardiovascular, La Habana, Cuba. </w:t>
      </w:r>
      <w:hyperlink r:id="rId7" w:history="1">
        <w:r w:rsidRPr="00096811">
          <w:rPr>
            <w:rStyle w:val="Hipervnculo"/>
            <w:rFonts w:ascii="Arial" w:hAnsi="Arial" w:cs="Arial"/>
          </w:rPr>
          <w:t>valdesitos41@gmail.com@gmail.com</w:t>
        </w:r>
      </w:hyperlink>
      <w:r>
        <w:rPr>
          <w:rFonts w:ascii="Arial" w:hAnsi="Arial" w:cs="Arial"/>
        </w:rPr>
        <w:t>.</w:t>
      </w:r>
    </w:p>
    <w:p w:rsidR="00593074" w:rsidRDefault="00593074" w:rsidP="00593074">
      <w:pPr>
        <w:spacing w:after="0" w:line="360" w:lineRule="auto"/>
        <w:jc w:val="both"/>
        <w:rPr>
          <w:rFonts w:ascii="Arial" w:eastAsia="Arial" w:hAnsi="Arial" w:cs="Arial"/>
          <w:b/>
          <w:sz w:val="24"/>
          <w:szCs w:val="24"/>
        </w:rPr>
      </w:pPr>
    </w:p>
    <w:p w:rsidR="00F254D6" w:rsidRDefault="00E01129" w:rsidP="00593074">
      <w:pPr>
        <w:spacing w:after="0" w:line="360" w:lineRule="auto"/>
        <w:jc w:val="both"/>
        <w:rPr>
          <w:rFonts w:ascii="Arial" w:eastAsia="Arial" w:hAnsi="Arial" w:cs="Arial"/>
          <w:sz w:val="24"/>
          <w:szCs w:val="24"/>
        </w:rPr>
      </w:pPr>
      <w:r>
        <w:rPr>
          <w:rFonts w:ascii="Arial" w:eastAsia="Arial" w:hAnsi="Arial" w:cs="Arial"/>
          <w:b/>
          <w:sz w:val="24"/>
          <w:szCs w:val="24"/>
        </w:rPr>
        <w:t>RESUMEN</w:t>
      </w:r>
    </w:p>
    <w:p w:rsidR="00593074" w:rsidRDefault="00E01129" w:rsidP="00593074">
      <w:pPr>
        <w:spacing w:after="0" w:line="360" w:lineRule="auto"/>
        <w:jc w:val="both"/>
        <w:rPr>
          <w:rFonts w:ascii="Arial" w:eastAsia="Arial" w:hAnsi="Arial" w:cs="Arial"/>
          <w:sz w:val="24"/>
          <w:szCs w:val="24"/>
        </w:rPr>
      </w:pPr>
      <w:r w:rsidRPr="00593074">
        <w:rPr>
          <w:rFonts w:ascii="Arial" w:eastAsia="Arial" w:hAnsi="Arial" w:cs="Arial"/>
          <w:b/>
          <w:sz w:val="24"/>
          <w:szCs w:val="24"/>
        </w:rPr>
        <w:t>Introducción:</w:t>
      </w:r>
      <w:r>
        <w:rPr>
          <w:rFonts w:ascii="Arial" w:eastAsia="Arial" w:hAnsi="Arial" w:cs="Arial"/>
          <w:sz w:val="24"/>
          <w:szCs w:val="24"/>
        </w:rPr>
        <w:t xml:space="preserve"> El estudio de la deformación miocárdica puede ser útil para detectar la disfunción ventricular </w:t>
      </w:r>
      <w:r w:rsidR="004B631F">
        <w:rPr>
          <w:rFonts w:ascii="Arial" w:eastAsia="Arial" w:hAnsi="Arial" w:cs="Arial"/>
          <w:sz w:val="24"/>
          <w:szCs w:val="24"/>
        </w:rPr>
        <w:t>posterior a la cirugía valvular por</w:t>
      </w:r>
      <w:r>
        <w:rPr>
          <w:rFonts w:ascii="Arial" w:eastAsia="Arial" w:hAnsi="Arial" w:cs="Arial"/>
          <w:sz w:val="24"/>
          <w:szCs w:val="24"/>
        </w:rPr>
        <w:t xml:space="preserve"> insuficiencia mitral grave crónica. </w:t>
      </w:r>
    </w:p>
    <w:p w:rsidR="00593074" w:rsidRDefault="00E01129" w:rsidP="00593074">
      <w:pPr>
        <w:spacing w:after="0" w:line="360" w:lineRule="auto"/>
        <w:jc w:val="both"/>
        <w:rPr>
          <w:rFonts w:ascii="Arial" w:eastAsia="Arial" w:hAnsi="Arial" w:cs="Arial"/>
          <w:sz w:val="24"/>
          <w:szCs w:val="24"/>
        </w:rPr>
      </w:pPr>
      <w:r w:rsidRPr="00593074">
        <w:rPr>
          <w:rFonts w:ascii="Arial" w:eastAsia="Arial" w:hAnsi="Arial" w:cs="Arial"/>
          <w:b/>
          <w:sz w:val="24"/>
          <w:szCs w:val="24"/>
        </w:rPr>
        <w:t>Objetivos:</w:t>
      </w:r>
      <w:r>
        <w:rPr>
          <w:rFonts w:ascii="Arial" w:eastAsia="Arial" w:hAnsi="Arial" w:cs="Arial"/>
          <w:sz w:val="24"/>
          <w:szCs w:val="24"/>
        </w:rPr>
        <w:t xml:space="preserve"> Evaluar el valor del análisis de la deformación miocárdica longitudinal del ventrículo izquierdo como predictor de disfunción ventricular a medio plazo en pacientes intervenidos por insuficiencia mitral grave crónica. </w:t>
      </w:r>
    </w:p>
    <w:p w:rsidR="00593074" w:rsidRDefault="00E01129" w:rsidP="00593074">
      <w:pPr>
        <w:spacing w:after="0" w:line="360" w:lineRule="auto"/>
        <w:jc w:val="both"/>
        <w:rPr>
          <w:rFonts w:ascii="Arial" w:eastAsia="Arial" w:hAnsi="Arial" w:cs="Arial"/>
          <w:sz w:val="24"/>
          <w:szCs w:val="24"/>
        </w:rPr>
      </w:pPr>
      <w:r w:rsidRPr="00593074">
        <w:rPr>
          <w:rFonts w:ascii="Arial" w:eastAsia="Arial" w:hAnsi="Arial" w:cs="Arial"/>
          <w:b/>
          <w:sz w:val="24"/>
          <w:szCs w:val="24"/>
        </w:rPr>
        <w:t>Métodos:</w:t>
      </w:r>
      <w:r>
        <w:rPr>
          <w:rFonts w:ascii="Arial" w:eastAsia="Arial" w:hAnsi="Arial" w:cs="Arial"/>
          <w:sz w:val="24"/>
          <w:szCs w:val="24"/>
        </w:rPr>
        <w:t xml:space="preserve"> Se realizó un estudio descriptivo, longitudinal </w:t>
      </w:r>
      <w:r w:rsidR="004B631F">
        <w:rPr>
          <w:rFonts w:ascii="Arial" w:eastAsia="Arial" w:hAnsi="Arial" w:cs="Arial"/>
          <w:sz w:val="24"/>
          <w:szCs w:val="24"/>
        </w:rPr>
        <w:t>y retro</w:t>
      </w:r>
      <w:r>
        <w:rPr>
          <w:rFonts w:ascii="Arial" w:eastAsia="Arial" w:hAnsi="Arial" w:cs="Arial"/>
          <w:sz w:val="24"/>
          <w:szCs w:val="24"/>
        </w:rPr>
        <w:t xml:space="preserve">spectivo en 74 pacientes ingresados sometidos a tratamiento quirúrgico por insuficiencia valvular mitral desde el 1ro de enero del 2014 hasta el 1ro de </w:t>
      </w:r>
      <w:proofErr w:type="gramStart"/>
      <w:r>
        <w:rPr>
          <w:rFonts w:ascii="Arial" w:eastAsia="Arial" w:hAnsi="Arial" w:cs="Arial"/>
          <w:sz w:val="24"/>
          <w:szCs w:val="24"/>
        </w:rPr>
        <w:t>Enero</w:t>
      </w:r>
      <w:proofErr w:type="gramEnd"/>
      <w:r>
        <w:rPr>
          <w:rFonts w:ascii="Arial" w:eastAsia="Arial" w:hAnsi="Arial" w:cs="Arial"/>
          <w:sz w:val="24"/>
          <w:szCs w:val="24"/>
        </w:rPr>
        <w:t xml:space="preserve"> del 2016 y divididos en dos grupos de comparación según presencia (n=23) o no (n=51) de disfunción ventricular postoperatoria. </w:t>
      </w:r>
    </w:p>
    <w:p w:rsidR="00593074" w:rsidRDefault="00E01129" w:rsidP="00593074">
      <w:pPr>
        <w:spacing w:after="0" w:line="360" w:lineRule="auto"/>
        <w:jc w:val="both"/>
        <w:rPr>
          <w:rFonts w:ascii="Arial" w:eastAsia="Arial" w:hAnsi="Arial" w:cs="Arial"/>
          <w:sz w:val="24"/>
          <w:szCs w:val="24"/>
        </w:rPr>
      </w:pPr>
      <w:r w:rsidRPr="00593074">
        <w:rPr>
          <w:rFonts w:ascii="Arial" w:eastAsia="Arial" w:hAnsi="Arial" w:cs="Arial"/>
          <w:b/>
          <w:sz w:val="24"/>
          <w:szCs w:val="24"/>
        </w:rPr>
        <w:t>Resultados:</w:t>
      </w:r>
      <w:r>
        <w:rPr>
          <w:rFonts w:ascii="Arial" w:eastAsia="Arial" w:hAnsi="Arial" w:cs="Arial"/>
          <w:sz w:val="24"/>
          <w:szCs w:val="24"/>
        </w:rPr>
        <w:t xml:space="preserve"> La FEVI preoperatoria (ABC=0,689) y el </w:t>
      </w:r>
      <w:proofErr w:type="spellStart"/>
      <w:r>
        <w:rPr>
          <w:rFonts w:ascii="Arial" w:eastAsia="Arial" w:hAnsi="Arial" w:cs="Arial"/>
          <w:sz w:val="24"/>
          <w:szCs w:val="24"/>
        </w:rPr>
        <w:t>Dp</w:t>
      </w:r>
      <w:proofErr w:type="spellEnd"/>
      <w:r>
        <w:rPr>
          <w:rFonts w:ascii="Arial" w:eastAsia="Arial" w:hAnsi="Arial" w:cs="Arial"/>
          <w:sz w:val="24"/>
          <w:szCs w:val="24"/>
        </w:rPr>
        <w:t>/</w:t>
      </w:r>
      <w:proofErr w:type="spellStart"/>
      <w:r>
        <w:rPr>
          <w:rFonts w:ascii="Arial" w:eastAsia="Arial" w:hAnsi="Arial" w:cs="Arial"/>
          <w:sz w:val="24"/>
          <w:szCs w:val="24"/>
        </w:rPr>
        <w:t>Dt</w:t>
      </w:r>
      <w:proofErr w:type="spellEnd"/>
      <w:r>
        <w:rPr>
          <w:rFonts w:ascii="Arial" w:eastAsia="Arial" w:hAnsi="Arial" w:cs="Arial"/>
          <w:sz w:val="24"/>
          <w:szCs w:val="24"/>
        </w:rPr>
        <w:t xml:space="preserve"> del VI (ABC=0,743) se relacionaron de manera significativa con una mayor probabilidad de disfunción ventricular postoperatoria, aunque con un valor predictivo menor a los parámetros de deformación. El </w:t>
      </w:r>
      <w:proofErr w:type="spellStart"/>
      <w:r>
        <w:rPr>
          <w:rFonts w:ascii="Arial" w:eastAsia="Arial" w:hAnsi="Arial" w:cs="Arial"/>
          <w:i/>
          <w:sz w:val="24"/>
          <w:szCs w:val="24"/>
        </w:rPr>
        <w:t>strain</w:t>
      </w:r>
      <w:proofErr w:type="spellEnd"/>
      <w:r>
        <w:rPr>
          <w:rFonts w:ascii="Arial" w:eastAsia="Arial" w:hAnsi="Arial" w:cs="Arial"/>
          <w:sz w:val="24"/>
          <w:szCs w:val="24"/>
        </w:rPr>
        <w:t xml:space="preserve"> (ABC=0,855 sensibilidad del 67,7% y especificidad del 91,2%) y </w:t>
      </w:r>
      <w:proofErr w:type="spellStart"/>
      <w:r>
        <w:rPr>
          <w:rFonts w:ascii="Arial" w:eastAsia="Arial" w:hAnsi="Arial" w:cs="Arial"/>
          <w:i/>
          <w:sz w:val="24"/>
          <w:szCs w:val="24"/>
        </w:rPr>
        <w:t>strain</w:t>
      </w:r>
      <w:proofErr w:type="spellEnd"/>
      <w:r>
        <w:rPr>
          <w:rFonts w:ascii="Arial" w:eastAsia="Arial" w:hAnsi="Arial" w:cs="Arial"/>
          <w:i/>
          <w:sz w:val="24"/>
          <w:szCs w:val="24"/>
        </w:rPr>
        <w:t xml:space="preserve"> </w:t>
      </w:r>
      <w:proofErr w:type="spellStart"/>
      <w:r>
        <w:rPr>
          <w:rFonts w:ascii="Arial" w:eastAsia="Arial" w:hAnsi="Arial" w:cs="Arial"/>
          <w:i/>
          <w:sz w:val="24"/>
          <w:szCs w:val="24"/>
        </w:rPr>
        <w:t>rate</w:t>
      </w:r>
      <w:proofErr w:type="spellEnd"/>
      <w:r>
        <w:rPr>
          <w:rFonts w:ascii="Arial" w:eastAsia="Arial" w:hAnsi="Arial" w:cs="Arial"/>
          <w:sz w:val="24"/>
          <w:szCs w:val="24"/>
        </w:rPr>
        <w:t xml:space="preserve"> basal (ABC=0,787sensibilidad del 58,0% y </w:t>
      </w:r>
      <w:r>
        <w:rPr>
          <w:rFonts w:ascii="Arial" w:eastAsia="Arial" w:hAnsi="Arial" w:cs="Arial"/>
          <w:sz w:val="24"/>
          <w:szCs w:val="24"/>
        </w:rPr>
        <w:lastRenderedPageBreak/>
        <w:t xml:space="preserve">especificidad del 87,7%) mostraron un buen valor predictivo de disfunción ventricular postoperatoria. </w:t>
      </w:r>
    </w:p>
    <w:p w:rsidR="00F254D6" w:rsidRDefault="00E01129" w:rsidP="00593074">
      <w:pPr>
        <w:spacing w:after="0" w:line="360" w:lineRule="auto"/>
        <w:jc w:val="both"/>
        <w:rPr>
          <w:rFonts w:ascii="Arial" w:eastAsia="Arial" w:hAnsi="Arial" w:cs="Arial"/>
          <w:sz w:val="24"/>
          <w:szCs w:val="24"/>
        </w:rPr>
      </w:pPr>
      <w:r w:rsidRPr="00593074">
        <w:rPr>
          <w:rFonts w:ascii="Arial" w:eastAsia="Arial" w:hAnsi="Arial" w:cs="Arial"/>
          <w:b/>
          <w:sz w:val="24"/>
          <w:szCs w:val="24"/>
        </w:rPr>
        <w:t>Conclusiones:</w:t>
      </w:r>
      <w:r>
        <w:rPr>
          <w:rFonts w:ascii="Arial" w:eastAsia="Arial" w:hAnsi="Arial" w:cs="Arial"/>
          <w:sz w:val="24"/>
          <w:szCs w:val="24"/>
        </w:rPr>
        <w:t xml:space="preserve"> La valoración de la función sistólica mediante el análisis de la deformación miocárdica (</w:t>
      </w:r>
      <w:proofErr w:type="spellStart"/>
      <w:r>
        <w:rPr>
          <w:rFonts w:ascii="Arial" w:eastAsia="Arial" w:hAnsi="Arial" w:cs="Arial"/>
          <w:i/>
          <w:sz w:val="24"/>
          <w:szCs w:val="24"/>
        </w:rPr>
        <w:t>strain</w:t>
      </w:r>
      <w:proofErr w:type="spellEnd"/>
      <w:r>
        <w:rPr>
          <w:rFonts w:ascii="Arial" w:eastAsia="Arial" w:hAnsi="Arial" w:cs="Arial"/>
          <w:sz w:val="24"/>
          <w:szCs w:val="24"/>
        </w:rPr>
        <w:t xml:space="preserve"> y </w:t>
      </w:r>
      <w:proofErr w:type="spellStart"/>
      <w:r>
        <w:rPr>
          <w:rFonts w:ascii="Arial" w:eastAsia="Arial" w:hAnsi="Arial" w:cs="Arial"/>
          <w:i/>
          <w:sz w:val="24"/>
          <w:szCs w:val="24"/>
        </w:rPr>
        <w:t>strain</w:t>
      </w:r>
      <w:proofErr w:type="spellEnd"/>
      <w:r>
        <w:rPr>
          <w:rFonts w:ascii="Arial" w:eastAsia="Arial" w:hAnsi="Arial" w:cs="Arial"/>
          <w:i/>
          <w:sz w:val="24"/>
          <w:szCs w:val="24"/>
        </w:rPr>
        <w:t xml:space="preserve"> </w:t>
      </w:r>
      <w:proofErr w:type="spellStart"/>
      <w:r>
        <w:rPr>
          <w:rFonts w:ascii="Arial" w:eastAsia="Arial" w:hAnsi="Arial" w:cs="Arial"/>
          <w:i/>
          <w:sz w:val="24"/>
          <w:szCs w:val="24"/>
        </w:rPr>
        <w:t>rate</w:t>
      </w:r>
      <w:proofErr w:type="spellEnd"/>
      <w:r>
        <w:rPr>
          <w:rFonts w:ascii="Arial" w:eastAsia="Arial" w:hAnsi="Arial" w:cs="Arial"/>
          <w:sz w:val="24"/>
          <w:szCs w:val="24"/>
        </w:rPr>
        <w:t>) constituye un método preciso y útil en la identificación de disfunción ventricular postoperatoria en pacientes intervenidos por insuficiencia mitral.</w:t>
      </w:r>
    </w:p>
    <w:p w:rsidR="00F254D6" w:rsidRDefault="00F254D6" w:rsidP="00593074">
      <w:pPr>
        <w:spacing w:after="0" w:line="360" w:lineRule="auto"/>
        <w:jc w:val="both"/>
      </w:pPr>
    </w:p>
    <w:p w:rsidR="00F254D6" w:rsidRDefault="00E01129" w:rsidP="00593074">
      <w:pPr>
        <w:spacing w:after="0" w:line="360" w:lineRule="auto"/>
        <w:jc w:val="both"/>
        <w:rPr>
          <w:rFonts w:ascii="Arial" w:eastAsia="Arial" w:hAnsi="Arial" w:cs="Arial"/>
          <w:sz w:val="24"/>
          <w:szCs w:val="24"/>
        </w:rPr>
      </w:pPr>
      <w:r>
        <w:rPr>
          <w:rFonts w:ascii="Arial" w:eastAsia="Arial" w:hAnsi="Arial" w:cs="Arial"/>
          <w:b/>
          <w:sz w:val="24"/>
          <w:szCs w:val="24"/>
        </w:rPr>
        <w:t>INTRODUCCIÓN.</w:t>
      </w: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 xml:space="preserve">La IM es actualmente la segunda causa más frecuente de enfermedad valvular, representando un tercio de las valvulopatías, por lo que constituye una importante problemática en salud pública. La </w:t>
      </w:r>
      <w:r w:rsidR="009837DA">
        <w:rPr>
          <w:rFonts w:ascii="Arial" w:eastAsia="Arial" w:hAnsi="Arial" w:cs="Arial"/>
          <w:sz w:val="24"/>
          <w:szCs w:val="24"/>
        </w:rPr>
        <w:t>insuficiencia</w:t>
      </w:r>
      <w:r w:rsidR="004B631F">
        <w:rPr>
          <w:rFonts w:ascii="Arial" w:eastAsia="Arial" w:hAnsi="Arial" w:cs="Arial"/>
          <w:sz w:val="24"/>
          <w:szCs w:val="24"/>
        </w:rPr>
        <w:t xml:space="preserve"> </w:t>
      </w:r>
      <w:r w:rsidR="009837DA">
        <w:rPr>
          <w:rFonts w:ascii="Arial" w:eastAsia="Arial" w:hAnsi="Arial" w:cs="Arial"/>
          <w:sz w:val="24"/>
          <w:szCs w:val="24"/>
        </w:rPr>
        <w:t>mitral (IM)</w:t>
      </w:r>
      <w:r>
        <w:rPr>
          <w:rFonts w:ascii="Arial" w:eastAsia="Arial" w:hAnsi="Arial" w:cs="Arial"/>
          <w:sz w:val="24"/>
          <w:szCs w:val="24"/>
        </w:rPr>
        <w:t xml:space="preserve"> crónica de grado severo es una enfermedad de lenta progresión.</w:t>
      </w:r>
      <w:r w:rsidR="008E787E" w:rsidRPr="00090646">
        <w:rPr>
          <w:rFonts w:ascii="Arial" w:eastAsia="Arial" w:hAnsi="Arial" w:cs="Arial"/>
          <w:sz w:val="24"/>
          <w:szCs w:val="24"/>
          <w:vertAlign w:val="superscript"/>
        </w:rPr>
        <w:t>1</w:t>
      </w: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 xml:space="preserve">Dentro de los primeros 10 años de su diagnóstico alrededor de un 90% de los pacientes presentará síntomas, insuficiencia cardiaca o muerte. El único tratamiento capaz de aumentar la sobrevida en estos pacientes es la intervención quirúrgica, pero el momento óptimo para indicar la cirugía </w:t>
      </w:r>
      <w:r w:rsidR="009837DA">
        <w:rPr>
          <w:rFonts w:ascii="Arial" w:eastAsia="Arial" w:hAnsi="Arial" w:cs="Arial"/>
          <w:sz w:val="24"/>
          <w:szCs w:val="24"/>
        </w:rPr>
        <w:t>continúa</w:t>
      </w:r>
      <w:r>
        <w:rPr>
          <w:rFonts w:ascii="Arial" w:eastAsia="Arial" w:hAnsi="Arial" w:cs="Arial"/>
          <w:sz w:val="24"/>
          <w:szCs w:val="24"/>
        </w:rPr>
        <w:t xml:space="preserve"> siendo objeto de debate. </w:t>
      </w:r>
      <w:r w:rsidR="008E787E" w:rsidRPr="00090646">
        <w:rPr>
          <w:rFonts w:ascii="Arial" w:eastAsia="Arial" w:hAnsi="Arial" w:cs="Arial"/>
          <w:sz w:val="24"/>
          <w:szCs w:val="24"/>
          <w:vertAlign w:val="superscript"/>
        </w:rPr>
        <w:t>2</w:t>
      </w: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 xml:space="preserve">El desarrollo de síntomas y disfunción sistólica del ventrículo izquierdo modifica su curso disminuyendo la sobrevida a mediano y largo plazo; es por ello que las guías actuales recomiendan la intervención quirúrgica en pacientes sintomáticos o con deterioro de la fracción de eyección del ventrículo izquierdo (FEVI) y/o aumento del diámetro </w:t>
      </w:r>
      <w:proofErr w:type="spellStart"/>
      <w:r>
        <w:rPr>
          <w:rFonts w:ascii="Arial" w:eastAsia="Arial" w:hAnsi="Arial" w:cs="Arial"/>
          <w:sz w:val="24"/>
          <w:szCs w:val="24"/>
        </w:rPr>
        <w:t>telesistólico</w:t>
      </w:r>
      <w:proofErr w:type="spellEnd"/>
      <w:r>
        <w:rPr>
          <w:rFonts w:ascii="Arial" w:eastAsia="Arial" w:hAnsi="Arial" w:cs="Arial"/>
          <w:sz w:val="24"/>
          <w:szCs w:val="24"/>
        </w:rPr>
        <w:t xml:space="preserve"> del ventrículo izquierdo (</w:t>
      </w:r>
      <w:proofErr w:type="spellStart"/>
      <w:r>
        <w:rPr>
          <w:rFonts w:ascii="Arial" w:eastAsia="Arial" w:hAnsi="Arial" w:cs="Arial"/>
          <w:sz w:val="24"/>
          <w:szCs w:val="24"/>
        </w:rPr>
        <w:t>DtsVI</w:t>
      </w:r>
      <w:proofErr w:type="spellEnd"/>
      <w:r>
        <w:rPr>
          <w:rFonts w:ascii="Arial" w:eastAsia="Arial" w:hAnsi="Arial" w:cs="Arial"/>
          <w:sz w:val="24"/>
          <w:szCs w:val="24"/>
        </w:rPr>
        <w:t xml:space="preserve">), equivalentes de disfunción ventricular. </w:t>
      </w:r>
      <w:r w:rsidR="008E787E">
        <w:rPr>
          <w:rFonts w:ascii="Arial" w:eastAsia="Arial" w:hAnsi="Arial" w:cs="Arial"/>
          <w:b/>
          <w:sz w:val="24"/>
          <w:szCs w:val="24"/>
          <w:vertAlign w:val="superscript"/>
        </w:rPr>
        <w:t>3</w:t>
      </w:r>
      <w:r w:rsidR="00090646">
        <w:rPr>
          <w:rFonts w:ascii="Arial" w:eastAsia="Arial" w:hAnsi="Arial" w:cs="Arial"/>
          <w:b/>
          <w:sz w:val="24"/>
          <w:szCs w:val="24"/>
          <w:vertAlign w:val="superscript"/>
        </w:rPr>
        <w:t xml:space="preserve"> </w:t>
      </w: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Sin embargo, cuando estos parámetros se encuentran comprometidos, la evolución postquirúrgica presenta peores resultados, lo que pone de manifiesto su incapacidad para identificar disfunción ventricular temprana, fase en la cual la lesión miocárdica se considera reversible. Esta limitación se debe a que estos parámetros</w:t>
      </w:r>
      <w:r w:rsidR="009837DA">
        <w:rPr>
          <w:rFonts w:ascii="Arial" w:eastAsia="Arial" w:hAnsi="Arial" w:cs="Arial"/>
          <w:sz w:val="24"/>
          <w:szCs w:val="24"/>
        </w:rPr>
        <w:t xml:space="preserve"> </w:t>
      </w:r>
      <w:r>
        <w:rPr>
          <w:rFonts w:ascii="Arial" w:eastAsia="Arial" w:hAnsi="Arial" w:cs="Arial"/>
          <w:sz w:val="24"/>
          <w:szCs w:val="24"/>
        </w:rPr>
        <w:t xml:space="preserve">presentan gran dependencia de las condiciones de carga, significativamente alteradas en esta valvulopatía. </w:t>
      </w:r>
      <w:r w:rsidR="00090646">
        <w:rPr>
          <w:rFonts w:ascii="Arial" w:eastAsia="Arial" w:hAnsi="Arial" w:cs="Arial"/>
          <w:b/>
          <w:sz w:val="24"/>
          <w:szCs w:val="24"/>
          <w:vertAlign w:val="superscript"/>
        </w:rPr>
        <w:t>3</w:t>
      </w:r>
      <w:r w:rsidR="00090646" w:rsidRPr="00090646">
        <w:rPr>
          <w:rFonts w:ascii="Arial" w:eastAsia="Arial" w:hAnsi="Arial" w:cs="Arial"/>
          <w:sz w:val="24"/>
          <w:szCs w:val="24"/>
          <w:vertAlign w:val="superscript"/>
        </w:rPr>
        <w:t>,4</w:t>
      </w:r>
    </w:p>
    <w:p w:rsidR="00F254D6" w:rsidRDefault="00E01129" w:rsidP="00593074">
      <w:pPr>
        <w:spacing w:after="0" w:line="360" w:lineRule="auto"/>
        <w:jc w:val="both"/>
        <w:rPr>
          <w:rFonts w:ascii="Arial" w:eastAsia="Arial" w:hAnsi="Arial" w:cs="Arial"/>
          <w:sz w:val="24"/>
          <w:szCs w:val="24"/>
          <w:vertAlign w:val="superscript"/>
        </w:rPr>
      </w:pPr>
      <w:r>
        <w:rPr>
          <w:rFonts w:ascii="Arial" w:eastAsia="Arial" w:hAnsi="Arial" w:cs="Arial"/>
          <w:sz w:val="24"/>
          <w:szCs w:val="24"/>
        </w:rPr>
        <w:t>El desarrollo de d</w:t>
      </w:r>
      <w:r w:rsidR="004B631F">
        <w:rPr>
          <w:rFonts w:ascii="Arial" w:eastAsia="Arial" w:hAnsi="Arial" w:cs="Arial"/>
          <w:sz w:val="24"/>
          <w:szCs w:val="24"/>
        </w:rPr>
        <w:t>isfunción ventricular izquierda a</w:t>
      </w:r>
      <w:r>
        <w:rPr>
          <w:rFonts w:ascii="Arial" w:eastAsia="Arial" w:hAnsi="Arial" w:cs="Arial"/>
          <w:sz w:val="24"/>
          <w:szCs w:val="24"/>
        </w:rPr>
        <w:t xml:space="preserve"> largo plazo es una preocupación importante para</w:t>
      </w:r>
      <w:r w:rsidR="004B631F">
        <w:rPr>
          <w:rFonts w:ascii="Arial" w:eastAsia="Arial" w:hAnsi="Arial" w:cs="Arial"/>
          <w:sz w:val="24"/>
          <w:szCs w:val="24"/>
        </w:rPr>
        <w:t xml:space="preserve"> </w:t>
      </w:r>
      <w:r>
        <w:rPr>
          <w:rFonts w:ascii="Arial" w:eastAsia="Arial" w:hAnsi="Arial" w:cs="Arial"/>
          <w:sz w:val="24"/>
          <w:szCs w:val="24"/>
        </w:rPr>
        <w:t>el clínico en el tratamiento de pacientes con insuficiencia</w:t>
      </w:r>
      <w:r w:rsidR="004B631F">
        <w:rPr>
          <w:rFonts w:ascii="Arial" w:eastAsia="Arial" w:hAnsi="Arial" w:cs="Arial"/>
          <w:sz w:val="24"/>
          <w:szCs w:val="24"/>
        </w:rPr>
        <w:t xml:space="preserve"> </w:t>
      </w:r>
      <w:r>
        <w:rPr>
          <w:rFonts w:ascii="Arial" w:eastAsia="Arial" w:hAnsi="Arial" w:cs="Arial"/>
          <w:sz w:val="24"/>
          <w:szCs w:val="24"/>
        </w:rPr>
        <w:t xml:space="preserve">mitral grave crónica. En el periodo </w:t>
      </w:r>
      <w:r w:rsidR="009837DA">
        <w:rPr>
          <w:rFonts w:ascii="Arial" w:eastAsia="Arial" w:hAnsi="Arial" w:cs="Arial"/>
          <w:sz w:val="24"/>
          <w:szCs w:val="24"/>
        </w:rPr>
        <w:t>preoperatorio las</w:t>
      </w:r>
      <w:r>
        <w:rPr>
          <w:rFonts w:ascii="Arial" w:eastAsia="Arial" w:hAnsi="Arial" w:cs="Arial"/>
          <w:sz w:val="24"/>
          <w:szCs w:val="24"/>
        </w:rPr>
        <w:t xml:space="preserve"> alteraciones de la contractilidad miocárdica</w:t>
      </w:r>
      <w:r w:rsidR="004B631F">
        <w:rPr>
          <w:rFonts w:ascii="Arial" w:eastAsia="Arial" w:hAnsi="Arial" w:cs="Arial"/>
          <w:sz w:val="24"/>
          <w:szCs w:val="24"/>
        </w:rPr>
        <w:t xml:space="preserve"> </w:t>
      </w:r>
      <w:r>
        <w:rPr>
          <w:rFonts w:ascii="Arial" w:eastAsia="Arial" w:hAnsi="Arial" w:cs="Arial"/>
          <w:sz w:val="24"/>
          <w:szCs w:val="24"/>
        </w:rPr>
        <w:t xml:space="preserve">pueden ser “invisibles” con los métodos </w:t>
      </w:r>
      <w:r w:rsidR="009837DA">
        <w:rPr>
          <w:rFonts w:ascii="Arial" w:eastAsia="Arial" w:hAnsi="Arial" w:cs="Arial"/>
          <w:sz w:val="24"/>
          <w:szCs w:val="24"/>
        </w:rPr>
        <w:t>tradicionales para</w:t>
      </w:r>
      <w:r>
        <w:rPr>
          <w:rFonts w:ascii="Arial" w:eastAsia="Arial" w:hAnsi="Arial" w:cs="Arial"/>
          <w:sz w:val="24"/>
          <w:szCs w:val="24"/>
        </w:rPr>
        <w:t xml:space="preserve"> evaluar la función sistólica, debido a las condiciones de carga existentes. </w:t>
      </w:r>
      <w:r>
        <w:rPr>
          <w:rFonts w:ascii="Arial" w:eastAsia="Arial" w:hAnsi="Arial" w:cs="Arial"/>
          <w:sz w:val="24"/>
          <w:szCs w:val="24"/>
        </w:rPr>
        <w:lastRenderedPageBreak/>
        <w:t>La regurgitación</w:t>
      </w:r>
      <w:r w:rsidR="004B631F">
        <w:rPr>
          <w:rFonts w:ascii="Arial" w:eastAsia="Arial" w:hAnsi="Arial" w:cs="Arial"/>
          <w:sz w:val="24"/>
          <w:szCs w:val="24"/>
        </w:rPr>
        <w:t xml:space="preserve"> </w:t>
      </w:r>
      <w:r>
        <w:rPr>
          <w:rFonts w:ascii="Arial" w:eastAsia="Arial" w:hAnsi="Arial" w:cs="Arial"/>
          <w:sz w:val="24"/>
          <w:szCs w:val="24"/>
        </w:rPr>
        <w:t xml:space="preserve">mitral proporciona una vía alternativa de baja </w:t>
      </w:r>
      <w:r w:rsidR="009837DA">
        <w:rPr>
          <w:rFonts w:ascii="Arial" w:eastAsia="Arial" w:hAnsi="Arial" w:cs="Arial"/>
          <w:sz w:val="24"/>
          <w:szCs w:val="24"/>
        </w:rPr>
        <w:t>impedancia para</w:t>
      </w:r>
      <w:r>
        <w:rPr>
          <w:rFonts w:ascii="Arial" w:eastAsia="Arial" w:hAnsi="Arial" w:cs="Arial"/>
          <w:sz w:val="24"/>
          <w:szCs w:val="24"/>
        </w:rPr>
        <w:t xml:space="preserve"> la eyección de ventrículo izquierdo y</w:t>
      </w:r>
      <w:r w:rsidR="004B631F">
        <w:rPr>
          <w:rFonts w:ascii="Arial" w:eastAsia="Arial" w:hAnsi="Arial" w:cs="Arial"/>
          <w:sz w:val="24"/>
          <w:szCs w:val="24"/>
        </w:rPr>
        <w:t xml:space="preserve"> </w:t>
      </w:r>
      <w:r>
        <w:rPr>
          <w:rFonts w:ascii="Arial" w:eastAsia="Arial" w:hAnsi="Arial" w:cs="Arial"/>
          <w:sz w:val="24"/>
          <w:szCs w:val="24"/>
        </w:rPr>
        <w:t xml:space="preserve">aumenta la FEVI. Para el clínico, supone un </w:t>
      </w:r>
      <w:r w:rsidR="009837DA">
        <w:rPr>
          <w:rFonts w:ascii="Arial" w:eastAsia="Arial" w:hAnsi="Arial" w:cs="Arial"/>
          <w:sz w:val="24"/>
          <w:szCs w:val="24"/>
        </w:rPr>
        <w:t>gran desafío</w:t>
      </w:r>
      <w:r>
        <w:rPr>
          <w:rFonts w:ascii="Arial" w:eastAsia="Arial" w:hAnsi="Arial" w:cs="Arial"/>
          <w:sz w:val="24"/>
          <w:szCs w:val="24"/>
        </w:rPr>
        <w:t xml:space="preserve"> la detección temprana del deterioro de la</w:t>
      </w:r>
      <w:r w:rsidR="004B631F">
        <w:rPr>
          <w:rFonts w:ascii="Arial" w:eastAsia="Arial" w:hAnsi="Arial" w:cs="Arial"/>
          <w:sz w:val="24"/>
          <w:szCs w:val="24"/>
        </w:rPr>
        <w:t xml:space="preserve"> </w:t>
      </w:r>
      <w:r>
        <w:rPr>
          <w:rFonts w:ascii="Arial" w:eastAsia="Arial" w:hAnsi="Arial" w:cs="Arial"/>
          <w:sz w:val="24"/>
          <w:szCs w:val="24"/>
        </w:rPr>
        <w:t xml:space="preserve">función sistólica en pacientes con insuficiencia </w:t>
      </w:r>
      <w:r w:rsidR="004B631F">
        <w:rPr>
          <w:rFonts w:ascii="Arial" w:eastAsia="Arial" w:hAnsi="Arial" w:cs="Arial"/>
          <w:sz w:val="24"/>
          <w:szCs w:val="24"/>
        </w:rPr>
        <w:t>mitral crónica</w:t>
      </w:r>
      <w:r>
        <w:rPr>
          <w:rFonts w:ascii="Arial" w:eastAsia="Arial" w:hAnsi="Arial" w:cs="Arial"/>
          <w:sz w:val="24"/>
          <w:szCs w:val="24"/>
        </w:rPr>
        <w:t xml:space="preserve"> para así definir mejor el momento </w:t>
      </w:r>
      <w:r w:rsidR="004B631F">
        <w:rPr>
          <w:rFonts w:ascii="Arial" w:eastAsia="Arial" w:hAnsi="Arial" w:cs="Arial"/>
          <w:sz w:val="24"/>
          <w:szCs w:val="24"/>
        </w:rPr>
        <w:t>adecuado de</w:t>
      </w:r>
      <w:r>
        <w:rPr>
          <w:rFonts w:ascii="Arial" w:eastAsia="Arial" w:hAnsi="Arial" w:cs="Arial"/>
          <w:sz w:val="24"/>
          <w:szCs w:val="24"/>
        </w:rPr>
        <w:t xml:space="preserve"> la cirugía.</w:t>
      </w:r>
      <w:r w:rsidR="00090646">
        <w:rPr>
          <w:rFonts w:ascii="Arial" w:eastAsia="Arial" w:hAnsi="Arial" w:cs="Arial"/>
          <w:b/>
          <w:sz w:val="24"/>
          <w:szCs w:val="24"/>
          <w:vertAlign w:val="superscript"/>
        </w:rPr>
        <w:t xml:space="preserve"> 5-7</w:t>
      </w:r>
    </w:p>
    <w:p w:rsidR="00F254D6" w:rsidRDefault="00E01129" w:rsidP="00593074">
      <w:pPr>
        <w:spacing w:after="0" w:line="360" w:lineRule="auto"/>
        <w:jc w:val="both"/>
        <w:rPr>
          <w:rFonts w:ascii="Arial" w:eastAsia="Arial" w:hAnsi="Arial" w:cs="Arial"/>
          <w:sz w:val="24"/>
          <w:szCs w:val="24"/>
          <w:vertAlign w:val="superscript"/>
        </w:rPr>
      </w:pPr>
      <w:r>
        <w:rPr>
          <w:rFonts w:ascii="Arial" w:eastAsia="Arial" w:hAnsi="Arial" w:cs="Arial"/>
          <w:sz w:val="24"/>
          <w:szCs w:val="24"/>
        </w:rPr>
        <w:t xml:space="preserve">Los parámetros más utilizados como predictores de mal pronóstico luego de la cirugía son la FEVI y el </w:t>
      </w:r>
      <w:proofErr w:type="spellStart"/>
      <w:r>
        <w:rPr>
          <w:rFonts w:ascii="Arial" w:eastAsia="Arial" w:hAnsi="Arial" w:cs="Arial"/>
          <w:sz w:val="24"/>
          <w:szCs w:val="24"/>
        </w:rPr>
        <w:t>DtsVI</w:t>
      </w:r>
      <w:proofErr w:type="spellEnd"/>
      <w:r>
        <w:rPr>
          <w:rFonts w:ascii="Arial" w:eastAsia="Arial" w:hAnsi="Arial" w:cs="Arial"/>
          <w:sz w:val="24"/>
          <w:szCs w:val="24"/>
        </w:rPr>
        <w:t xml:space="preserve">. La principal limitación de ambos es la alta dependencia de las condiciones de carga, lo que reduce su fiabilidad en pacientes con IM severa. A pesar </w:t>
      </w:r>
      <w:r w:rsidR="009837DA">
        <w:rPr>
          <w:rFonts w:ascii="Arial" w:eastAsia="Arial" w:hAnsi="Arial" w:cs="Arial"/>
          <w:sz w:val="24"/>
          <w:szCs w:val="24"/>
        </w:rPr>
        <w:t>de esto</w:t>
      </w:r>
      <w:r>
        <w:rPr>
          <w:rFonts w:ascii="Arial" w:eastAsia="Arial" w:hAnsi="Arial" w:cs="Arial"/>
          <w:sz w:val="24"/>
          <w:szCs w:val="24"/>
        </w:rPr>
        <w:t xml:space="preserve">, la FEVI ha demostrado ser el mejor predictor de sobrevida y disfunción ventricular postquirúrgica. Luego de la cirugía la FEVI cae aproximadamente un 10%, ya que la </w:t>
      </w:r>
      <w:proofErr w:type="spellStart"/>
      <w:r>
        <w:rPr>
          <w:rFonts w:ascii="Arial" w:eastAsia="Arial" w:hAnsi="Arial" w:cs="Arial"/>
          <w:sz w:val="24"/>
          <w:szCs w:val="24"/>
        </w:rPr>
        <w:t>postcarga</w:t>
      </w:r>
      <w:proofErr w:type="spellEnd"/>
      <w:r>
        <w:rPr>
          <w:rFonts w:ascii="Arial" w:eastAsia="Arial" w:hAnsi="Arial" w:cs="Arial"/>
          <w:sz w:val="24"/>
          <w:szCs w:val="24"/>
        </w:rPr>
        <w:t xml:space="preserve"> aumenta.</w:t>
      </w:r>
      <w:r w:rsidR="00090646">
        <w:rPr>
          <w:rFonts w:ascii="Arial" w:eastAsia="Arial" w:hAnsi="Arial" w:cs="Arial"/>
          <w:b/>
          <w:sz w:val="24"/>
          <w:szCs w:val="24"/>
          <w:vertAlign w:val="superscript"/>
        </w:rPr>
        <w:t>8</w:t>
      </w: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El estudio de la deformación miocárdica puede ser útil para detectar la disfunción ventricular latente en pacientes seguidos por insuficiencia mitral grave crónica.</w:t>
      </w:r>
    </w:p>
    <w:p w:rsidR="00F254D6" w:rsidRDefault="00593074" w:rsidP="00593074">
      <w:pPr>
        <w:spacing w:after="0" w:line="360" w:lineRule="auto"/>
        <w:jc w:val="both"/>
        <w:rPr>
          <w:rFonts w:ascii="Arial" w:eastAsia="Arial" w:hAnsi="Arial" w:cs="Arial"/>
          <w:sz w:val="24"/>
          <w:szCs w:val="24"/>
        </w:rPr>
      </w:pPr>
      <w:r>
        <w:rPr>
          <w:rFonts w:ascii="Arial" w:eastAsia="Arial" w:hAnsi="Arial" w:cs="Arial"/>
          <w:b/>
          <w:sz w:val="24"/>
          <w:szCs w:val="24"/>
        </w:rPr>
        <w:t>OBJETIVOS</w:t>
      </w:r>
    </w:p>
    <w:p w:rsidR="00F254D6" w:rsidRDefault="00E01129" w:rsidP="00593074">
      <w:pPr>
        <w:numPr>
          <w:ilvl w:val="0"/>
          <w:numId w:val="1"/>
        </w:numPr>
        <w:spacing w:after="0" w:line="360" w:lineRule="auto"/>
        <w:ind w:left="357" w:hanging="357"/>
        <w:jc w:val="both"/>
        <w:rPr>
          <w:rFonts w:ascii="Arial" w:eastAsia="Arial" w:hAnsi="Arial" w:cs="Arial"/>
          <w:color w:val="000000"/>
          <w:sz w:val="24"/>
          <w:szCs w:val="24"/>
        </w:rPr>
      </w:pPr>
      <w:r>
        <w:rPr>
          <w:rFonts w:ascii="Arial" w:eastAsia="Arial" w:hAnsi="Arial" w:cs="Arial"/>
          <w:color w:val="000000"/>
          <w:sz w:val="24"/>
          <w:szCs w:val="24"/>
        </w:rPr>
        <w:t>Identificar posibles diferencias en las variables clínicas y ecocardiográficas según presencia o no de disfunción ventricular postoperatoria a mediano plazo</w:t>
      </w:r>
    </w:p>
    <w:p w:rsidR="00F254D6" w:rsidRDefault="00E01129" w:rsidP="00593074">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Determinar el valor del análisis de la deformación miocárdica longitudinal del ventrículo izquierdo como predictor de disfunción ventricular a medio plazo en pacientes intervenidos por insuficiencia mitral grave crónica.</w:t>
      </w:r>
    </w:p>
    <w:p w:rsidR="00F254D6" w:rsidRDefault="00F254D6" w:rsidP="00593074">
      <w:pPr>
        <w:spacing w:after="0" w:line="360" w:lineRule="auto"/>
        <w:jc w:val="both"/>
        <w:rPr>
          <w:rFonts w:ascii="Arial" w:eastAsia="Arial" w:hAnsi="Arial" w:cs="Arial"/>
          <w:sz w:val="24"/>
          <w:szCs w:val="24"/>
        </w:rPr>
      </w:pPr>
    </w:p>
    <w:p w:rsidR="00F254D6" w:rsidRDefault="00E01129" w:rsidP="00593074">
      <w:pPr>
        <w:spacing w:after="0" w:line="360" w:lineRule="auto"/>
        <w:jc w:val="both"/>
        <w:rPr>
          <w:rFonts w:ascii="Arial" w:eastAsia="Arial" w:hAnsi="Arial" w:cs="Arial"/>
          <w:sz w:val="24"/>
          <w:szCs w:val="24"/>
        </w:rPr>
      </w:pPr>
      <w:r>
        <w:rPr>
          <w:rFonts w:ascii="Arial" w:eastAsia="Arial" w:hAnsi="Arial" w:cs="Arial"/>
          <w:b/>
          <w:sz w:val="24"/>
          <w:szCs w:val="24"/>
        </w:rPr>
        <w:t>DISEÑO METODOLÓGICO.</w:t>
      </w:r>
    </w:p>
    <w:p w:rsidR="00F254D6" w:rsidRDefault="00E01129" w:rsidP="00593074">
      <w:pPr>
        <w:tabs>
          <w:tab w:val="left" w:pos="180"/>
        </w:tabs>
        <w:spacing w:after="0" w:line="360" w:lineRule="auto"/>
        <w:jc w:val="both"/>
        <w:rPr>
          <w:rFonts w:ascii="Arial" w:eastAsia="Arial" w:hAnsi="Arial" w:cs="Arial"/>
          <w:sz w:val="24"/>
          <w:szCs w:val="24"/>
        </w:rPr>
      </w:pPr>
      <w:r>
        <w:rPr>
          <w:rFonts w:ascii="Arial" w:eastAsia="Arial" w:hAnsi="Arial" w:cs="Arial"/>
          <w:sz w:val="24"/>
          <w:szCs w:val="24"/>
        </w:rPr>
        <w:t xml:space="preserve">Se realizó un estudio descriptivo, longitudinal </w:t>
      </w:r>
      <w:r w:rsidR="009837DA">
        <w:rPr>
          <w:rFonts w:ascii="Arial" w:eastAsia="Arial" w:hAnsi="Arial" w:cs="Arial"/>
          <w:sz w:val="24"/>
          <w:szCs w:val="24"/>
        </w:rPr>
        <w:t>y retrosp</w:t>
      </w:r>
      <w:r>
        <w:rPr>
          <w:rFonts w:ascii="Arial" w:eastAsia="Arial" w:hAnsi="Arial" w:cs="Arial"/>
          <w:sz w:val="24"/>
          <w:szCs w:val="24"/>
        </w:rPr>
        <w:t xml:space="preserve">ectivo en los pacientes ingresados en el Servicio de Cirugía Cardiovascular del Instituto de Cardiología y Cirugía Cardiovascular (ICCCV) de La Habana, sometidos a tratamiento quirúrgico por insuficiencia valvular mitral desde el 1ro de enero del 2014 hasta el 1ro de </w:t>
      </w:r>
      <w:r w:rsidR="002166A2">
        <w:rPr>
          <w:rFonts w:ascii="Arial" w:eastAsia="Arial" w:hAnsi="Arial" w:cs="Arial"/>
          <w:sz w:val="24"/>
          <w:szCs w:val="24"/>
        </w:rPr>
        <w:t>enero</w:t>
      </w:r>
      <w:r>
        <w:rPr>
          <w:rFonts w:ascii="Arial" w:eastAsia="Arial" w:hAnsi="Arial" w:cs="Arial"/>
          <w:sz w:val="24"/>
          <w:szCs w:val="24"/>
        </w:rPr>
        <w:t xml:space="preserve"> del 2016.</w:t>
      </w:r>
    </w:p>
    <w:p w:rsidR="00F254D6" w:rsidRDefault="00E01129" w:rsidP="00593074">
      <w:pPr>
        <w:tabs>
          <w:tab w:val="left" w:pos="180"/>
        </w:tabs>
        <w:spacing w:after="0" w:line="360" w:lineRule="auto"/>
        <w:jc w:val="both"/>
        <w:rPr>
          <w:rFonts w:ascii="Arial" w:eastAsia="Arial" w:hAnsi="Arial" w:cs="Arial"/>
          <w:sz w:val="24"/>
          <w:szCs w:val="24"/>
        </w:rPr>
      </w:pPr>
      <w:r>
        <w:rPr>
          <w:rFonts w:ascii="Arial" w:eastAsia="Arial" w:hAnsi="Arial" w:cs="Arial"/>
          <w:b/>
          <w:sz w:val="24"/>
          <w:szCs w:val="24"/>
        </w:rPr>
        <w:t xml:space="preserve">Universo en estudio: </w:t>
      </w:r>
      <w:r>
        <w:rPr>
          <w:rFonts w:ascii="Arial" w:eastAsia="Arial" w:hAnsi="Arial" w:cs="Arial"/>
          <w:sz w:val="24"/>
          <w:szCs w:val="24"/>
        </w:rPr>
        <w:t xml:space="preserve">todos los pacientes sometidos a tratamiento quirúrgico por insuficiencia valvular mitral que cumplieron con los siguientes criterios: </w:t>
      </w:r>
    </w:p>
    <w:p w:rsidR="00F254D6" w:rsidRDefault="00E01129" w:rsidP="00593074">
      <w:pPr>
        <w:tabs>
          <w:tab w:val="left" w:pos="180"/>
        </w:tabs>
        <w:spacing w:after="0" w:line="360" w:lineRule="auto"/>
        <w:jc w:val="both"/>
        <w:rPr>
          <w:rFonts w:ascii="Arial" w:eastAsia="Arial" w:hAnsi="Arial" w:cs="Arial"/>
          <w:sz w:val="24"/>
          <w:szCs w:val="24"/>
        </w:rPr>
      </w:pPr>
      <w:r>
        <w:rPr>
          <w:rFonts w:ascii="Arial" w:eastAsia="Arial" w:hAnsi="Arial" w:cs="Arial"/>
          <w:sz w:val="24"/>
          <w:szCs w:val="24"/>
        </w:rPr>
        <w:t xml:space="preserve">Criterios de inclusión: </w:t>
      </w:r>
    </w:p>
    <w:p w:rsidR="00F254D6" w:rsidRDefault="00E01129" w:rsidP="00593074">
      <w:pPr>
        <w:tabs>
          <w:tab w:val="left" w:pos="180"/>
        </w:tabs>
        <w:spacing w:after="0" w:line="360" w:lineRule="auto"/>
        <w:jc w:val="both"/>
        <w:rPr>
          <w:rFonts w:ascii="Arial" w:eastAsia="Arial" w:hAnsi="Arial" w:cs="Arial"/>
          <w:sz w:val="24"/>
          <w:szCs w:val="24"/>
        </w:rPr>
      </w:pPr>
      <w:r>
        <w:rPr>
          <w:rFonts w:ascii="Arial" w:eastAsia="Arial" w:hAnsi="Arial" w:cs="Arial"/>
          <w:sz w:val="24"/>
          <w:szCs w:val="24"/>
        </w:rPr>
        <w:t>- Edad mayor de 18 años, de ambos sexos.</w:t>
      </w:r>
    </w:p>
    <w:p w:rsidR="00F254D6" w:rsidRDefault="00E01129" w:rsidP="00593074">
      <w:pPr>
        <w:tabs>
          <w:tab w:val="left" w:pos="180"/>
        </w:tabs>
        <w:spacing w:after="0" w:line="360" w:lineRule="auto"/>
        <w:jc w:val="both"/>
        <w:rPr>
          <w:rFonts w:ascii="Arial" w:eastAsia="Arial" w:hAnsi="Arial" w:cs="Arial"/>
          <w:sz w:val="24"/>
          <w:szCs w:val="24"/>
        </w:rPr>
      </w:pPr>
      <w:r>
        <w:rPr>
          <w:rFonts w:ascii="Arial" w:eastAsia="Arial" w:hAnsi="Arial" w:cs="Arial"/>
          <w:sz w:val="24"/>
          <w:szCs w:val="24"/>
        </w:rPr>
        <w:t xml:space="preserve">- Insuficiencia Valvular Mitral pura debido a enfermedad orgánica de la válvula mitral como indicación quirúrgica. </w:t>
      </w:r>
    </w:p>
    <w:p w:rsidR="00F254D6" w:rsidRDefault="00E01129" w:rsidP="00593074">
      <w:pPr>
        <w:tabs>
          <w:tab w:val="left" w:pos="180"/>
        </w:tabs>
        <w:spacing w:after="0" w:line="360" w:lineRule="auto"/>
        <w:jc w:val="both"/>
        <w:rPr>
          <w:rFonts w:ascii="Arial" w:eastAsia="Arial" w:hAnsi="Arial" w:cs="Arial"/>
          <w:sz w:val="24"/>
          <w:szCs w:val="24"/>
        </w:rPr>
      </w:pPr>
      <w:r>
        <w:rPr>
          <w:rFonts w:ascii="Arial" w:eastAsia="Arial" w:hAnsi="Arial" w:cs="Arial"/>
          <w:sz w:val="24"/>
          <w:szCs w:val="24"/>
        </w:rPr>
        <w:t>-Pacientes isquémicos con enfermedad coronaria.</w:t>
      </w:r>
    </w:p>
    <w:p w:rsidR="00F254D6" w:rsidRDefault="00E01129" w:rsidP="00593074">
      <w:pPr>
        <w:tabs>
          <w:tab w:val="left" w:pos="180"/>
        </w:tabs>
        <w:spacing w:after="0" w:line="360" w:lineRule="auto"/>
        <w:jc w:val="both"/>
        <w:rPr>
          <w:rFonts w:ascii="Arial" w:eastAsia="Arial" w:hAnsi="Arial" w:cs="Arial"/>
          <w:sz w:val="24"/>
          <w:szCs w:val="24"/>
        </w:rPr>
      </w:pPr>
      <w:r>
        <w:rPr>
          <w:rFonts w:ascii="Arial" w:eastAsia="Arial" w:hAnsi="Arial" w:cs="Arial"/>
          <w:sz w:val="24"/>
          <w:szCs w:val="24"/>
        </w:rPr>
        <w:lastRenderedPageBreak/>
        <w:t>-Pacientes isquémicos sin enfermedad coronaria.</w:t>
      </w:r>
    </w:p>
    <w:p w:rsidR="00F254D6" w:rsidRDefault="00E01129" w:rsidP="00593074">
      <w:pPr>
        <w:tabs>
          <w:tab w:val="left" w:pos="180"/>
        </w:tabs>
        <w:spacing w:after="0" w:line="360" w:lineRule="auto"/>
        <w:jc w:val="both"/>
        <w:rPr>
          <w:rFonts w:ascii="Arial" w:eastAsia="Arial" w:hAnsi="Arial" w:cs="Arial"/>
          <w:sz w:val="24"/>
          <w:szCs w:val="24"/>
        </w:rPr>
      </w:pPr>
      <w:r>
        <w:rPr>
          <w:rFonts w:ascii="Arial" w:eastAsia="Arial" w:hAnsi="Arial" w:cs="Arial"/>
          <w:sz w:val="24"/>
          <w:szCs w:val="24"/>
        </w:rPr>
        <w:t xml:space="preserve">Criterios de exclusión: </w:t>
      </w:r>
    </w:p>
    <w:p w:rsidR="00F254D6" w:rsidRDefault="00E01129" w:rsidP="00593074">
      <w:pPr>
        <w:tabs>
          <w:tab w:val="left" w:pos="180"/>
        </w:tabs>
        <w:spacing w:after="0" w:line="360" w:lineRule="auto"/>
        <w:jc w:val="both"/>
        <w:rPr>
          <w:rFonts w:ascii="Arial" w:eastAsia="Arial" w:hAnsi="Arial" w:cs="Arial"/>
          <w:sz w:val="24"/>
          <w:szCs w:val="24"/>
        </w:rPr>
      </w:pPr>
      <w:r>
        <w:rPr>
          <w:rFonts w:ascii="Arial" w:eastAsia="Arial" w:hAnsi="Arial" w:cs="Arial"/>
          <w:sz w:val="24"/>
          <w:szCs w:val="24"/>
        </w:rPr>
        <w:t xml:space="preserve">- Datos incompletos en la historia clínica. </w:t>
      </w:r>
    </w:p>
    <w:p w:rsidR="00F254D6" w:rsidRDefault="00E01129" w:rsidP="00593074">
      <w:pPr>
        <w:tabs>
          <w:tab w:val="left" w:pos="180"/>
        </w:tabs>
        <w:spacing w:after="0" w:line="360" w:lineRule="auto"/>
        <w:jc w:val="both"/>
        <w:rPr>
          <w:rFonts w:ascii="Arial" w:eastAsia="Arial" w:hAnsi="Arial" w:cs="Arial"/>
          <w:sz w:val="24"/>
          <w:szCs w:val="24"/>
        </w:rPr>
      </w:pPr>
      <w:r>
        <w:rPr>
          <w:rFonts w:ascii="Arial" w:eastAsia="Arial" w:hAnsi="Arial" w:cs="Arial"/>
          <w:sz w:val="24"/>
          <w:szCs w:val="24"/>
        </w:rPr>
        <w:t xml:space="preserve">--Cualquier otro tipo de afección estructural que interfiera en el análisis de la disfunción; </w:t>
      </w:r>
      <w:r w:rsidR="009837DA">
        <w:rPr>
          <w:rFonts w:ascii="Arial" w:eastAsia="Arial" w:hAnsi="Arial" w:cs="Arial"/>
          <w:sz w:val="24"/>
          <w:szCs w:val="24"/>
        </w:rPr>
        <w:t>hipertrofia VI</w:t>
      </w:r>
      <w:r>
        <w:rPr>
          <w:rFonts w:ascii="Arial" w:eastAsia="Arial" w:hAnsi="Arial" w:cs="Arial"/>
          <w:sz w:val="24"/>
          <w:szCs w:val="24"/>
        </w:rPr>
        <w:t xml:space="preserve">, hipertrofia septal por hipertensión arterial, diabetes mellitus </w:t>
      </w:r>
      <w:proofErr w:type="spellStart"/>
      <w:r>
        <w:rPr>
          <w:rFonts w:ascii="Arial" w:eastAsia="Arial" w:hAnsi="Arial" w:cs="Arial"/>
          <w:sz w:val="24"/>
          <w:szCs w:val="24"/>
        </w:rPr>
        <w:t>insulino</w:t>
      </w:r>
      <w:proofErr w:type="spellEnd"/>
      <w:r>
        <w:rPr>
          <w:rFonts w:ascii="Arial" w:eastAsia="Arial" w:hAnsi="Arial" w:cs="Arial"/>
          <w:sz w:val="24"/>
          <w:szCs w:val="24"/>
        </w:rPr>
        <w:t xml:space="preserve"> conveniente, enfermedad arterial coronaria, enfermedad </w:t>
      </w:r>
      <w:proofErr w:type="spellStart"/>
      <w:r>
        <w:rPr>
          <w:rFonts w:ascii="Arial" w:eastAsia="Arial" w:hAnsi="Arial" w:cs="Arial"/>
          <w:sz w:val="24"/>
          <w:szCs w:val="24"/>
        </w:rPr>
        <w:t>plurivalvular</w:t>
      </w:r>
      <w:proofErr w:type="spellEnd"/>
      <w:r>
        <w:rPr>
          <w:rFonts w:ascii="Arial" w:eastAsia="Arial" w:hAnsi="Arial" w:cs="Arial"/>
          <w:sz w:val="24"/>
          <w:szCs w:val="24"/>
        </w:rPr>
        <w:t>.</w:t>
      </w:r>
    </w:p>
    <w:p w:rsidR="00F254D6" w:rsidRDefault="00E01129" w:rsidP="00593074">
      <w:pPr>
        <w:tabs>
          <w:tab w:val="left" w:pos="180"/>
        </w:tabs>
        <w:spacing w:after="0" w:line="360" w:lineRule="auto"/>
        <w:jc w:val="both"/>
        <w:rPr>
          <w:rFonts w:ascii="Arial" w:eastAsia="Arial" w:hAnsi="Arial" w:cs="Arial"/>
          <w:sz w:val="24"/>
          <w:szCs w:val="24"/>
        </w:rPr>
      </w:pPr>
      <w:r>
        <w:rPr>
          <w:rFonts w:ascii="Arial" w:eastAsia="Arial" w:hAnsi="Arial" w:cs="Arial"/>
          <w:b/>
          <w:sz w:val="24"/>
          <w:szCs w:val="24"/>
        </w:rPr>
        <w:t xml:space="preserve">Muestra en estudio: </w:t>
      </w:r>
      <w:r>
        <w:rPr>
          <w:rFonts w:ascii="Arial" w:eastAsia="Arial" w:hAnsi="Arial" w:cs="Arial"/>
          <w:sz w:val="24"/>
          <w:szCs w:val="24"/>
        </w:rPr>
        <w:t>se determinó mediante un método no probabilístico por conveniencia. La muestra fue seleccionada por dos especialistas expertos en ecocardiografía con una larga experiencia en el estudio de la población con insuficiencia mitral pura.</w:t>
      </w:r>
      <w:r w:rsidR="00972BE7">
        <w:rPr>
          <w:rFonts w:ascii="Arial" w:eastAsia="Arial" w:hAnsi="Arial" w:cs="Arial"/>
          <w:sz w:val="24"/>
          <w:szCs w:val="24"/>
        </w:rPr>
        <w:t xml:space="preserve"> </w:t>
      </w:r>
      <w:r>
        <w:rPr>
          <w:rFonts w:ascii="Arial" w:eastAsia="Arial" w:hAnsi="Arial" w:cs="Arial"/>
          <w:sz w:val="24"/>
          <w:szCs w:val="24"/>
        </w:rPr>
        <w:t xml:space="preserve">Estuvo conformada por 74 pacientes provenientes del universo, atendidos en el ICCCV, durante el periodo en estudio señalado. </w:t>
      </w:r>
    </w:p>
    <w:p w:rsidR="00F254D6" w:rsidRDefault="00E01129" w:rsidP="00593074">
      <w:pPr>
        <w:spacing w:after="0" w:line="360" w:lineRule="auto"/>
        <w:jc w:val="both"/>
        <w:rPr>
          <w:rFonts w:ascii="Arial" w:eastAsia="Arial" w:hAnsi="Arial" w:cs="Arial"/>
          <w:sz w:val="24"/>
          <w:szCs w:val="24"/>
        </w:rPr>
      </w:pPr>
      <w:r>
        <w:rPr>
          <w:rFonts w:ascii="Arial" w:eastAsia="Arial" w:hAnsi="Arial" w:cs="Arial"/>
          <w:b/>
          <w:sz w:val="24"/>
          <w:szCs w:val="24"/>
        </w:rPr>
        <w:t>Técnicas ecocardiográficas</w:t>
      </w: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Los estudios ecocardiográficos se realizaron durante las 48 h previas a la cirugía y seis meses después de ésta.</w:t>
      </w: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 xml:space="preserve">Para ello, se empleó un equipo de ultrasonido estándar Philips IE33 2006, versión 2.0.1.420 con transductor S5-1 con arreglo de fase de 1,3 a 3,6 MHz provisto de imagen armónica y fueron realizados por dos observadores con nivel III de experiencia de la Sociedad Americana de Ecocardiografía con una variabilidad intra e </w:t>
      </w:r>
      <w:proofErr w:type="spellStart"/>
      <w:r>
        <w:rPr>
          <w:rFonts w:ascii="Arial" w:eastAsia="Arial" w:hAnsi="Arial" w:cs="Arial"/>
          <w:sz w:val="24"/>
          <w:szCs w:val="24"/>
        </w:rPr>
        <w:t>interobservador</w:t>
      </w:r>
      <w:proofErr w:type="spellEnd"/>
      <w:r>
        <w:rPr>
          <w:rFonts w:ascii="Arial" w:eastAsia="Arial" w:hAnsi="Arial" w:cs="Arial"/>
          <w:sz w:val="24"/>
          <w:szCs w:val="24"/>
        </w:rPr>
        <w:t xml:space="preserve"> entre un 8-12%. Dichos exámenes ecocardiográficos se ejecutaron con el paciente en decúbito lateral izquierdo, y se tomaron cinco medidas como promedio y se almacenaron digitalmente para su posterior análisis. Se evaluó utilizando las vistas apicales de 2 y 4 cámaras para la determinación de los volúmenes </w:t>
      </w:r>
      <w:proofErr w:type="spellStart"/>
      <w:r>
        <w:rPr>
          <w:rFonts w:ascii="Arial" w:eastAsia="Arial" w:hAnsi="Arial" w:cs="Arial"/>
          <w:sz w:val="24"/>
          <w:szCs w:val="24"/>
        </w:rPr>
        <w:t>telediastólico</w:t>
      </w:r>
      <w:proofErr w:type="spellEnd"/>
      <w:r>
        <w:rPr>
          <w:rFonts w:ascii="Arial" w:eastAsia="Arial" w:hAnsi="Arial" w:cs="Arial"/>
          <w:sz w:val="24"/>
          <w:szCs w:val="24"/>
        </w:rPr>
        <w:t xml:space="preserve">, </w:t>
      </w:r>
      <w:proofErr w:type="spellStart"/>
      <w:r>
        <w:rPr>
          <w:rFonts w:ascii="Arial" w:eastAsia="Arial" w:hAnsi="Arial" w:cs="Arial"/>
          <w:sz w:val="24"/>
          <w:szCs w:val="24"/>
        </w:rPr>
        <w:t>telesistólico</w:t>
      </w:r>
      <w:proofErr w:type="spellEnd"/>
      <w:r>
        <w:rPr>
          <w:rFonts w:ascii="Arial" w:eastAsia="Arial" w:hAnsi="Arial" w:cs="Arial"/>
          <w:sz w:val="24"/>
          <w:szCs w:val="24"/>
        </w:rPr>
        <w:t xml:space="preserve"> y la FEVI mediante el método de Simpson biplano modificado. Se promediaron los volúmenes de la AI obtenidos desde la vista 4 cámaras y 2 cámaras apical.</w:t>
      </w:r>
    </w:p>
    <w:p w:rsidR="00F254D6" w:rsidRDefault="00E01129" w:rsidP="00593074">
      <w:pPr>
        <w:spacing w:after="0" w:line="360" w:lineRule="auto"/>
        <w:jc w:val="both"/>
        <w:rPr>
          <w:rFonts w:ascii="Arial" w:eastAsia="Arial" w:hAnsi="Arial" w:cs="Arial"/>
          <w:sz w:val="24"/>
          <w:szCs w:val="24"/>
          <w:u w:val="single"/>
        </w:rPr>
      </w:pPr>
      <w:r>
        <w:rPr>
          <w:rFonts w:ascii="Arial" w:eastAsia="Arial" w:hAnsi="Arial" w:cs="Arial"/>
          <w:sz w:val="24"/>
          <w:szCs w:val="24"/>
          <w:u w:val="single"/>
        </w:rPr>
        <w:t>Deformación miocárdica</w:t>
      </w: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 xml:space="preserve">Los datos para el análisis fueron obtenidos con el mismo equipo y transductor. Las imágenes de velocidades tisulares se obtuvieron desde la vista apical de 4 y 2 cámaras. La anchura del sector de exploración se mantuvo lo más estrecha posible logrando </w:t>
      </w:r>
      <w:r w:rsidR="00972BE7">
        <w:rPr>
          <w:rFonts w:ascii="Arial" w:eastAsia="Arial" w:hAnsi="Arial" w:cs="Arial"/>
          <w:sz w:val="24"/>
          <w:szCs w:val="24"/>
        </w:rPr>
        <w:t>una frecuencia</w:t>
      </w:r>
      <w:r>
        <w:rPr>
          <w:rFonts w:ascii="Arial" w:eastAsia="Arial" w:hAnsi="Arial" w:cs="Arial"/>
          <w:sz w:val="24"/>
          <w:szCs w:val="24"/>
        </w:rPr>
        <w:t xml:space="preserve"> de cuadros entre 200 y 400 Hz, así como un ángulo menor de 30 grados entre el acortamiento longitudinal de los segmentos y el haz de ultrasonido. El dato primario se </w:t>
      </w:r>
      <w:proofErr w:type="spellStart"/>
      <w:r>
        <w:rPr>
          <w:rFonts w:ascii="Arial" w:eastAsia="Arial" w:hAnsi="Arial" w:cs="Arial"/>
          <w:sz w:val="24"/>
          <w:szCs w:val="24"/>
        </w:rPr>
        <w:t>analizóoff</w:t>
      </w:r>
      <w:proofErr w:type="spellEnd"/>
      <w:r>
        <w:rPr>
          <w:rFonts w:ascii="Arial" w:eastAsia="Arial" w:hAnsi="Arial" w:cs="Arial"/>
          <w:sz w:val="24"/>
          <w:szCs w:val="24"/>
        </w:rPr>
        <w:t xml:space="preserve">-line mediante el software </w:t>
      </w:r>
      <w:proofErr w:type="spellStart"/>
      <w:r>
        <w:rPr>
          <w:rFonts w:ascii="Arial" w:eastAsia="Arial" w:hAnsi="Arial" w:cs="Arial"/>
          <w:sz w:val="24"/>
          <w:szCs w:val="24"/>
        </w:rPr>
        <w:t>QLab</w:t>
      </w:r>
      <w:proofErr w:type="spellEnd"/>
      <w:r>
        <w:rPr>
          <w:rFonts w:ascii="Arial" w:eastAsia="Arial" w:hAnsi="Arial" w:cs="Arial"/>
          <w:sz w:val="24"/>
          <w:szCs w:val="24"/>
        </w:rPr>
        <w:t xml:space="preserve"> SQ (cuantificación de deformación) provisto por Philips. </w:t>
      </w: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Se realizaron las mediciones en las curvas de deformación mediante el trazo de una línea de modo M curvo en los segmentos a explorar, tratando de mantener dicha línea dentro del miocardio durante todo el ciclo cardiaco con una longitud crítica de al menos 10 </w:t>
      </w:r>
      <w:proofErr w:type="spellStart"/>
      <w:proofErr w:type="gramStart"/>
      <w:r>
        <w:rPr>
          <w:rFonts w:ascii="Arial" w:eastAsia="Arial" w:hAnsi="Arial" w:cs="Arial"/>
          <w:sz w:val="24"/>
          <w:szCs w:val="24"/>
        </w:rPr>
        <w:t>mm.Se</w:t>
      </w:r>
      <w:proofErr w:type="spellEnd"/>
      <w:proofErr w:type="gramEnd"/>
      <w:r>
        <w:rPr>
          <w:rFonts w:ascii="Arial" w:eastAsia="Arial" w:hAnsi="Arial" w:cs="Arial"/>
          <w:sz w:val="24"/>
          <w:szCs w:val="24"/>
        </w:rPr>
        <w:t xml:space="preserve"> tomaron los valores de </w:t>
      </w:r>
      <w:proofErr w:type="spellStart"/>
      <w:r>
        <w:rPr>
          <w:rFonts w:ascii="Arial" w:eastAsia="Arial" w:hAnsi="Arial" w:cs="Arial"/>
          <w:i/>
          <w:sz w:val="24"/>
          <w:szCs w:val="24"/>
        </w:rPr>
        <w:t>strain</w:t>
      </w:r>
      <w:proofErr w:type="spellEnd"/>
      <w:r>
        <w:rPr>
          <w:rFonts w:ascii="Arial" w:eastAsia="Arial" w:hAnsi="Arial" w:cs="Arial"/>
          <w:sz w:val="24"/>
          <w:szCs w:val="24"/>
        </w:rPr>
        <w:t xml:space="preserve"> y </w:t>
      </w:r>
      <w:proofErr w:type="spellStart"/>
      <w:r>
        <w:rPr>
          <w:rFonts w:ascii="Arial" w:eastAsia="Arial" w:hAnsi="Arial" w:cs="Arial"/>
          <w:i/>
          <w:sz w:val="24"/>
          <w:szCs w:val="24"/>
        </w:rPr>
        <w:t>strainrate</w:t>
      </w:r>
      <w:proofErr w:type="spellEnd"/>
      <w:r>
        <w:rPr>
          <w:rFonts w:ascii="Arial" w:eastAsia="Arial" w:hAnsi="Arial" w:cs="Arial"/>
          <w:sz w:val="24"/>
          <w:szCs w:val="24"/>
        </w:rPr>
        <w:t xml:space="preserve"> pertenecientes a la pared septal en sus segmentos basal y medio. </w:t>
      </w:r>
    </w:p>
    <w:p w:rsidR="00F254D6" w:rsidRDefault="00E01129" w:rsidP="00593074">
      <w:pPr>
        <w:keepNext/>
        <w:numPr>
          <w:ilvl w:val="0"/>
          <w:numId w:val="3"/>
        </w:numPr>
        <w:tabs>
          <w:tab w:val="left" w:pos="180"/>
        </w:tabs>
        <w:spacing w:after="0" w:line="360" w:lineRule="auto"/>
        <w:jc w:val="both"/>
        <w:rPr>
          <w:sz w:val="24"/>
          <w:szCs w:val="24"/>
        </w:rPr>
      </w:pPr>
      <w:r>
        <w:rPr>
          <w:rFonts w:ascii="Arial" w:eastAsia="Arial" w:hAnsi="Arial" w:cs="Arial"/>
          <w:b/>
          <w:sz w:val="24"/>
          <w:szCs w:val="24"/>
        </w:rPr>
        <w:t>De análisis estadístico</w:t>
      </w:r>
    </w:p>
    <w:p w:rsidR="00F254D6" w:rsidRDefault="00E01129" w:rsidP="00593074">
      <w:pPr>
        <w:tabs>
          <w:tab w:val="left" w:pos="180"/>
        </w:tabs>
        <w:spacing w:after="0" w:line="360" w:lineRule="auto"/>
        <w:jc w:val="both"/>
        <w:rPr>
          <w:rFonts w:ascii="Arial" w:eastAsia="Arial" w:hAnsi="Arial" w:cs="Arial"/>
          <w:sz w:val="24"/>
          <w:szCs w:val="24"/>
        </w:rPr>
      </w:pPr>
      <w:r>
        <w:rPr>
          <w:rFonts w:ascii="Arial" w:eastAsia="Arial" w:hAnsi="Arial" w:cs="Arial"/>
          <w:sz w:val="24"/>
          <w:szCs w:val="24"/>
        </w:rPr>
        <w:t xml:space="preserve">Se confeccionó una base de datos con el programa de procesamiento estadístico SPSS versión 21.0, dividiéndose la muestra para cada uno de los objetivos en dos grupos de comparación según la presencia o no de disfunción ventricular postoperatoria. Las variables cualitativas se agruparon en números absolutos y porcentaje y las continuas en media y desviación estándar. Para establecer diferencias entre los grupos de comparación se utilizó el test Chi cuadrado de Pearson para las variables cualitativas y la t de </w:t>
      </w:r>
      <w:proofErr w:type="spellStart"/>
      <w:r>
        <w:rPr>
          <w:rFonts w:ascii="Arial" w:eastAsia="Arial" w:hAnsi="Arial" w:cs="Arial"/>
          <w:sz w:val="24"/>
          <w:szCs w:val="24"/>
        </w:rPr>
        <w:t>Student</w:t>
      </w:r>
      <w:proofErr w:type="spellEnd"/>
      <w:r>
        <w:rPr>
          <w:rFonts w:ascii="Arial" w:eastAsia="Arial" w:hAnsi="Arial" w:cs="Arial"/>
          <w:sz w:val="24"/>
          <w:szCs w:val="24"/>
        </w:rPr>
        <w:t xml:space="preserve"> para las cuantitativas. Se realizó además un análisis de regresión logística para identificar los predictores del deterioro de la FEVI &gt; 10% a los seis meses de la operación. Se calcularon además las correspondientes áreas bajo la curva para determinar el punto de corte </w:t>
      </w:r>
      <w:proofErr w:type="spellStart"/>
      <w:r>
        <w:rPr>
          <w:rFonts w:ascii="Arial" w:eastAsia="Arial" w:hAnsi="Arial" w:cs="Arial"/>
          <w:sz w:val="24"/>
          <w:szCs w:val="24"/>
        </w:rPr>
        <w:t>óptimopara</w:t>
      </w:r>
      <w:proofErr w:type="spellEnd"/>
      <w:r>
        <w:rPr>
          <w:rFonts w:ascii="Arial" w:eastAsia="Arial" w:hAnsi="Arial" w:cs="Arial"/>
          <w:sz w:val="24"/>
          <w:szCs w:val="24"/>
        </w:rPr>
        <w:t xml:space="preserve"> predecir el deterioro de la FEVI, determinándose además la sensibilidad, especificidad, valor predictivo positivo (VPP) y negativo (VPN</w:t>
      </w:r>
      <w:proofErr w:type="gramStart"/>
      <w:r>
        <w:rPr>
          <w:rFonts w:ascii="Arial" w:eastAsia="Arial" w:hAnsi="Arial" w:cs="Arial"/>
          <w:sz w:val="24"/>
          <w:szCs w:val="24"/>
        </w:rPr>
        <w:t>).Se</w:t>
      </w:r>
      <w:proofErr w:type="gramEnd"/>
      <w:r>
        <w:rPr>
          <w:rFonts w:ascii="Arial" w:eastAsia="Arial" w:hAnsi="Arial" w:cs="Arial"/>
          <w:sz w:val="24"/>
          <w:szCs w:val="24"/>
        </w:rPr>
        <w:t xml:space="preserve"> estableció el nivel de significación para valores de p &lt;0,05. Los resultados se presentaron en tablas y gráficos circulares. </w:t>
      </w:r>
    </w:p>
    <w:p w:rsidR="00F254D6" w:rsidRDefault="00F254D6" w:rsidP="00593074">
      <w:pPr>
        <w:spacing w:after="0" w:line="360" w:lineRule="auto"/>
        <w:jc w:val="both"/>
        <w:rPr>
          <w:rFonts w:ascii="Arial" w:eastAsia="Arial" w:hAnsi="Arial" w:cs="Arial"/>
        </w:rPr>
      </w:pPr>
    </w:p>
    <w:p w:rsidR="00F254D6" w:rsidRDefault="00E01129" w:rsidP="00593074">
      <w:pPr>
        <w:spacing w:after="0" w:line="360" w:lineRule="auto"/>
        <w:jc w:val="both"/>
        <w:rPr>
          <w:rFonts w:ascii="Arial" w:eastAsia="Arial" w:hAnsi="Arial" w:cs="Arial"/>
          <w:sz w:val="24"/>
          <w:szCs w:val="24"/>
        </w:rPr>
      </w:pPr>
      <w:r>
        <w:rPr>
          <w:rFonts w:ascii="Arial" w:eastAsia="Arial" w:hAnsi="Arial" w:cs="Arial"/>
          <w:b/>
          <w:i/>
          <w:sz w:val="24"/>
          <w:szCs w:val="24"/>
        </w:rPr>
        <w:t>Consideraciones Éticas</w:t>
      </w: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 xml:space="preserve">El estudio se realizó de acuerdo con lo establecido en la Declaración de Helsinki, modificación de Hong Kong sobre las investigaciones en seres humanos. </w:t>
      </w:r>
      <w:r>
        <w:rPr>
          <w:rFonts w:ascii="Arial" w:eastAsia="Arial" w:hAnsi="Arial" w:cs="Arial"/>
          <w:b/>
          <w:sz w:val="24"/>
          <w:szCs w:val="24"/>
          <w:vertAlign w:val="superscript"/>
        </w:rPr>
        <w:t>(37)</w:t>
      </w:r>
      <w:r>
        <w:rPr>
          <w:rFonts w:ascii="Arial" w:eastAsia="Arial" w:hAnsi="Arial" w:cs="Arial"/>
          <w:sz w:val="24"/>
          <w:szCs w:val="24"/>
        </w:rPr>
        <w:t xml:space="preserve"> Este estudio fue examinado por la comisión de bioética del </w:t>
      </w:r>
      <w:r w:rsidR="00972BE7">
        <w:rPr>
          <w:rFonts w:ascii="Arial" w:eastAsia="Arial" w:hAnsi="Arial" w:cs="Arial"/>
          <w:sz w:val="24"/>
          <w:szCs w:val="24"/>
        </w:rPr>
        <w:t>ICCCV</w:t>
      </w:r>
      <w:r>
        <w:rPr>
          <w:rFonts w:ascii="Arial" w:eastAsia="Arial" w:hAnsi="Arial" w:cs="Arial"/>
          <w:sz w:val="24"/>
          <w:szCs w:val="24"/>
        </w:rPr>
        <w:t xml:space="preserve"> y la aprobación del mismo dependió enteramente de ellos. Se </w:t>
      </w:r>
      <w:r w:rsidR="00972BE7">
        <w:rPr>
          <w:rFonts w:ascii="Arial" w:eastAsia="Arial" w:hAnsi="Arial" w:cs="Arial"/>
          <w:sz w:val="24"/>
          <w:szCs w:val="24"/>
        </w:rPr>
        <w:t>tuvo en</w:t>
      </w:r>
      <w:r>
        <w:rPr>
          <w:rFonts w:ascii="Arial" w:eastAsia="Arial" w:hAnsi="Arial" w:cs="Arial"/>
          <w:sz w:val="24"/>
          <w:szCs w:val="24"/>
        </w:rPr>
        <w:t xml:space="preserve"> cuenta que todos los pacientes brindaron previamente su consentimiento informado por escrito y lo firmaron antes de participar en el estudio. </w:t>
      </w:r>
    </w:p>
    <w:p w:rsidR="00F254D6" w:rsidRDefault="00F254D6" w:rsidP="00593074">
      <w:pPr>
        <w:spacing w:after="0" w:line="360" w:lineRule="auto"/>
        <w:jc w:val="both"/>
        <w:rPr>
          <w:rFonts w:ascii="Arial" w:eastAsia="Arial" w:hAnsi="Arial" w:cs="Arial"/>
          <w:sz w:val="24"/>
          <w:szCs w:val="24"/>
        </w:rPr>
      </w:pPr>
    </w:p>
    <w:p w:rsidR="00F254D6" w:rsidRDefault="00E01129" w:rsidP="00593074">
      <w:pPr>
        <w:spacing w:after="0" w:line="360" w:lineRule="auto"/>
        <w:jc w:val="both"/>
        <w:rPr>
          <w:rFonts w:ascii="Arial" w:eastAsia="Arial" w:hAnsi="Arial" w:cs="Arial"/>
          <w:b/>
          <w:sz w:val="28"/>
          <w:szCs w:val="28"/>
        </w:rPr>
      </w:pPr>
      <w:r>
        <w:rPr>
          <w:rFonts w:ascii="Arial" w:eastAsia="Arial" w:hAnsi="Arial" w:cs="Arial"/>
          <w:b/>
          <w:sz w:val="28"/>
          <w:szCs w:val="28"/>
        </w:rPr>
        <w:t>RESULTADOS</w:t>
      </w: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 xml:space="preserve">Se incluyeron un total de 74 pacientes que fueron intervenidos durante el periodo en estudio para sustitución valvular mitral distribuidos de la siguiente manera: año 2014 (n=25); año 2015 (n=31) y hasta mayo de 2016 (n=18). La principal </w:t>
      </w:r>
      <w:r>
        <w:rPr>
          <w:rFonts w:ascii="Arial" w:eastAsia="Arial" w:hAnsi="Arial" w:cs="Arial"/>
          <w:sz w:val="24"/>
          <w:szCs w:val="24"/>
        </w:rPr>
        <w:lastRenderedPageBreak/>
        <w:t>etiología fue la degenerativa (56,8%), seguida por la reumática (37,8%), mientras que la infecciosa estuvo presente en cuatro pacientes (5,4%)</w:t>
      </w:r>
      <w:r w:rsidR="00972BE7">
        <w:rPr>
          <w:rFonts w:ascii="Arial" w:eastAsia="Arial" w:hAnsi="Arial" w:cs="Arial"/>
          <w:sz w:val="24"/>
          <w:szCs w:val="24"/>
        </w:rPr>
        <w:t>.</w:t>
      </w:r>
    </w:p>
    <w:p w:rsidR="00F254D6" w:rsidRDefault="00F254D6" w:rsidP="00593074">
      <w:pPr>
        <w:spacing w:after="0" w:line="360" w:lineRule="auto"/>
        <w:jc w:val="both"/>
        <w:rPr>
          <w:rFonts w:ascii="Arial" w:eastAsia="Arial" w:hAnsi="Arial" w:cs="Arial"/>
          <w:sz w:val="24"/>
          <w:szCs w:val="24"/>
        </w:rPr>
      </w:pPr>
    </w:p>
    <w:p w:rsidR="00F254D6" w:rsidRDefault="00972BE7" w:rsidP="00593074">
      <w:pPr>
        <w:spacing w:after="0" w:line="360" w:lineRule="auto"/>
        <w:jc w:val="both"/>
        <w:rPr>
          <w:rFonts w:ascii="Arial" w:eastAsia="Arial" w:hAnsi="Arial" w:cs="Arial"/>
          <w:sz w:val="24"/>
          <w:szCs w:val="24"/>
        </w:rPr>
      </w:pPr>
      <w:r w:rsidRPr="00972BE7">
        <w:rPr>
          <w:rFonts w:ascii="Arial" w:eastAsia="Arial" w:hAnsi="Arial" w:cs="Arial"/>
          <w:b/>
          <w:sz w:val="24"/>
          <w:szCs w:val="24"/>
        </w:rPr>
        <w:t>Tabla 1</w:t>
      </w:r>
      <w:r w:rsidR="00E01129" w:rsidRPr="00972BE7">
        <w:rPr>
          <w:rFonts w:ascii="Arial" w:eastAsia="Arial" w:hAnsi="Arial" w:cs="Arial"/>
          <w:b/>
          <w:sz w:val="24"/>
          <w:szCs w:val="24"/>
        </w:rPr>
        <w:t xml:space="preserve">. </w:t>
      </w:r>
      <w:r w:rsidR="00E01129">
        <w:rPr>
          <w:rFonts w:ascii="Arial" w:eastAsia="Arial" w:hAnsi="Arial" w:cs="Arial"/>
          <w:sz w:val="24"/>
          <w:szCs w:val="24"/>
        </w:rPr>
        <w:t xml:space="preserve">Variables clínicas de los pacientes en estudio según presencia o no de disfunción ventricular postoperatoria a mediano plazo. ICCCV 2014-2016. </w:t>
      </w:r>
    </w:p>
    <w:tbl>
      <w:tblPr>
        <w:tblStyle w:val="Tablaconcuadrcula"/>
        <w:tblW w:w="9073" w:type="dxa"/>
        <w:tblLayout w:type="fixed"/>
        <w:tblLook w:val="0000" w:firstRow="0" w:lastRow="0" w:firstColumn="0" w:lastColumn="0" w:noHBand="0" w:noVBand="0"/>
      </w:tblPr>
      <w:tblGrid>
        <w:gridCol w:w="2552"/>
        <w:gridCol w:w="1701"/>
        <w:gridCol w:w="1701"/>
        <w:gridCol w:w="1951"/>
        <w:gridCol w:w="1168"/>
      </w:tblGrid>
      <w:tr w:rsidR="00F254D6" w:rsidTr="00972BE7">
        <w:trPr>
          <w:trHeight w:val="265"/>
        </w:trPr>
        <w:tc>
          <w:tcPr>
            <w:tcW w:w="2552" w:type="dxa"/>
            <w:vMerge w:val="restart"/>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i/>
                <w:szCs w:val="24"/>
              </w:rPr>
              <w:t>Variables</w:t>
            </w:r>
          </w:p>
        </w:tc>
        <w:tc>
          <w:tcPr>
            <w:tcW w:w="3402" w:type="dxa"/>
            <w:gridSpan w:val="2"/>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Disfunción ventricular</w:t>
            </w:r>
          </w:p>
        </w:tc>
        <w:tc>
          <w:tcPr>
            <w:tcW w:w="1951" w:type="dxa"/>
            <w:vMerge w:val="restart"/>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OR (IC 95%)</w:t>
            </w:r>
          </w:p>
        </w:tc>
        <w:tc>
          <w:tcPr>
            <w:tcW w:w="1168" w:type="dxa"/>
            <w:vMerge w:val="restart"/>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p</w:t>
            </w:r>
          </w:p>
        </w:tc>
      </w:tr>
      <w:tr w:rsidR="00F254D6" w:rsidTr="00972BE7">
        <w:trPr>
          <w:trHeight w:val="288"/>
        </w:trPr>
        <w:tc>
          <w:tcPr>
            <w:tcW w:w="2552" w:type="dxa"/>
            <w:vMerge/>
          </w:tcPr>
          <w:p w:rsidR="00F254D6" w:rsidRPr="00972BE7" w:rsidRDefault="00F254D6" w:rsidP="00593074">
            <w:pPr>
              <w:widowControl w:val="0"/>
              <w:pBdr>
                <w:top w:val="nil"/>
                <w:left w:val="nil"/>
                <w:bottom w:val="nil"/>
                <w:right w:val="nil"/>
                <w:between w:val="nil"/>
              </w:pBdr>
              <w:spacing w:line="360" w:lineRule="auto"/>
              <w:jc w:val="both"/>
              <w:rPr>
                <w:rFonts w:ascii="Arial" w:eastAsia="Arial" w:hAnsi="Arial" w:cs="Arial"/>
                <w:szCs w:val="24"/>
              </w:rPr>
            </w:pP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Si n=23</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No n=51</w:t>
            </w:r>
          </w:p>
        </w:tc>
        <w:tc>
          <w:tcPr>
            <w:tcW w:w="1951" w:type="dxa"/>
            <w:vMerge/>
          </w:tcPr>
          <w:p w:rsidR="00F254D6" w:rsidRPr="00972BE7" w:rsidRDefault="00F254D6" w:rsidP="00593074">
            <w:pPr>
              <w:widowControl w:val="0"/>
              <w:pBdr>
                <w:top w:val="nil"/>
                <w:left w:val="nil"/>
                <w:bottom w:val="nil"/>
                <w:right w:val="nil"/>
                <w:between w:val="nil"/>
              </w:pBdr>
              <w:spacing w:line="360" w:lineRule="auto"/>
              <w:jc w:val="both"/>
              <w:rPr>
                <w:rFonts w:ascii="Arial" w:eastAsia="Arial" w:hAnsi="Arial" w:cs="Arial"/>
                <w:szCs w:val="24"/>
              </w:rPr>
            </w:pPr>
          </w:p>
        </w:tc>
        <w:tc>
          <w:tcPr>
            <w:tcW w:w="1168" w:type="dxa"/>
            <w:vMerge/>
          </w:tcPr>
          <w:p w:rsidR="00F254D6" w:rsidRPr="00972BE7" w:rsidRDefault="00F254D6" w:rsidP="00593074">
            <w:pPr>
              <w:widowControl w:val="0"/>
              <w:pBdr>
                <w:top w:val="nil"/>
                <w:left w:val="nil"/>
                <w:bottom w:val="nil"/>
                <w:right w:val="nil"/>
                <w:between w:val="nil"/>
              </w:pBdr>
              <w:spacing w:line="360" w:lineRule="auto"/>
              <w:jc w:val="both"/>
              <w:rPr>
                <w:rFonts w:ascii="Arial" w:eastAsia="Arial" w:hAnsi="Arial" w:cs="Arial"/>
                <w:szCs w:val="24"/>
              </w:rPr>
            </w:pPr>
          </w:p>
        </w:tc>
      </w:tr>
      <w:tr w:rsidR="00F254D6" w:rsidTr="00972BE7">
        <w:tc>
          <w:tcPr>
            <w:tcW w:w="2552"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i/>
                <w:szCs w:val="24"/>
              </w:rPr>
              <w:t>Edad (Años)</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63,1±10,7</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59,0±9,1</w:t>
            </w:r>
          </w:p>
        </w:tc>
        <w:tc>
          <w:tcPr>
            <w:tcW w:w="195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w:t>
            </w:r>
          </w:p>
        </w:tc>
        <w:tc>
          <w:tcPr>
            <w:tcW w:w="1168"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0,341</w:t>
            </w:r>
          </w:p>
        </w:tc>
      </w:tr>
      <w:tr w:rsidR="00F254D6" w:rsidTr="00972BE7">
        <w:tc>
          <w:tcPr>
            <w:tcW w:w="2552"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i/>
                <w:szCs w:val="24"/>
              </w:rPr>
              <w:t>Sexo   Femenino</w:t>
            </w:r>
          </w:p>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i/>
                <w:szCs w:val="24"/>
              </w:rPr>
              <w:t>Masculino</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16 (69,6%)</w:t>
            </w:r>
          </w:p>
          <w:p w:rsidR="00F254D6" w:rsidRPr="00972BE7" w:rsidRDefault="00E01129" w:rsidP="00593074">
            <w:pPr>
              <w:tabs>
                <w:tab w:val="left" w:pos="449"/>
                <w:tab w:val="center" w:pos="742"/>
              </w:tabs>
              <w:spacing w:line="360" w:lineRule="auto"/>
              <w:jc w:val="both"/>
              <w:rPr>
                <w:rFonts w:ascii="Arial" w:eastAsia="Arial" w:hAnsi="Arial" w:cs="Arial"/>
                <w:szCs w:val="24"/>
              </w:rPr>
            </w:pPr>
            <w:r w:rsidRPr="00972BE7">
              <w:rPr>
                <w:rFonts w:ascii="Arial" w:eastAsia="Arial" w:hAnsi="Arial" w:cs="Arial"/>
                <w:szCs w:val="24"/>
              </w:rPr>
              <w:t>7 (30,4%)</w:t>
            </w:r>
          </w:p>
        </w:tc>
        <w:tc>
          <w:tcPr>
            <w:tcW w:w="1701" w:type="dxa"/>
          </w:tcPr>
          <w:p w:rsidR="00F254D6" w:rsidRPr="00972BE7" w:rsidRDefault="00E01129" w:rsidP="00593074">
            <w:pPr>
              <w:tabs>
                <w:tab w:val="left" w:pos="541"/>
                <w:tab w:val="center" w:pos="742"/>
              </w:tabs>
              <w:spacing w:line="360" w:lineRule="auto"/>
              <w:jc w:val="both"/>
              <w:rPr>
                <w:rFonts w:ascii="Arial" w:eastAsia="Arial" w:hAnsi="Arial" w:cs="Arial"/>
                <w:szCs w:val="24"/>
              </w:rPr>
            </w:pPr>
            <w:r w:rsidRPr="00972BE7">
              <w:rPr>
                <w:rFonts w:ascii="Arial" w:eastAsia="Arial" w:hAnsi="Arial" w:cs="Arial"/>
                <w:szCs w:val="24"/>
              </w:rPr>
              <w:t>32 (62,7%)</w:t>
            </w:r>
          </w:p>
          <w:p w:rsidR="00F254D6" w:rsidRPr="00972BE7" w:rsidRDefault="00E01129" w:rsidP="00593074">
            <w:pPr>
              <w:tabs>
                <w:tab w:val="left" w:pos="415"/>
                <w:tab w:val="center" w:pos="742"/>
              </w:tabs>
              <w:spacing w:line="360" w:lineRule="auto"/>
              <w:jc w:val="both"/>
              <w:rPr>
                <w:rFonts w:ascii="Arial" w:eastAsia="Arial" w:hAnsi="Arial" w:cs="Arial"/>
                <w:szCs w:val="24"/>
              </w:rPr>
            </w:pPr>
            <w:r w:rsidRPr="00972BE7">
              <w:rPr>
                <w:rFonts w:ascii="Arial" w:eastAsia="Arial" w:hAnsi="Arial" w:cs="Arial"/>
                <w:szCs w:val="24"/>
              </w:rPr>
              <w:t>19 (37,3%)</w:t>
            </w:r>
          </w:p>
        </w:tc>
        <w:tc>
          <w:tcPr>
            <w:tcW w:w="195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1,36 (0,47-3,89)</w:t>
            </w:r>
          </w:p>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0,74 (0,26-2,11)</w:t>
            </w:r>
          </w:p>
        </w:tc>
        <w:tc>
          <w:tcPr>
            <w:tcW w:w="1168"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0,384</w:t>
            </w:r>
          </w:p>
        </w:tc>
      </w:tr>
      <w:tr w:rsidR="00F254D6" w:rsidTr="00972BE7">
        <w:tc>
          <w:tcPr>
            <w:tcW w:w="2552"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i/>
                <w:szCs w:val="24"/>
              </w:rPr>
              <w:t>IMC (Kg/m</w:t>
            </w:r>
            <w:r w:rsidRPr="00972BE7">
              <w:rPr>
                <w:rFonts w:ascii="Arial" w:eastAsia="Arial" w:hAnsi="Arial" w:cs="Arial"/>
                <w:i/>
                <w:szCs w:val="24"/>
                <w:vertAlign w:val="superscript"/>
              </w:rPr>
              <w:t>2</w:t>
            </w:r>
            <w:r w:rsidRPr="00972BE7">
              <w:rPr>
                <w:rFonts w:ascii="Arial" w:eastAsia="Arial" w:hAnsi="Arial" w:cs="Arial"/>
                <w:i/>
                <w:szCs w:val="24"/>
              </w:rPr>
              <w:t>)</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26,2±4,2</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25,3±3,4</w:t>
            </w:r>
          </w:p>
        </w:tc>
        <w:tc>
          <w:tcPr>
            <w:tcW w:w="195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w:t>
            </w:r>
          </w:p>
        </w:tc>
        <w:tc>
          <w:tcPr>
            <w:tcW w:w="1168"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0,789</w:t>
            </w:r>
          </w:p>
        </w:tc>
      </w:tr>
      <w:tr w:rsidR="00F254D6" w:rsidTr="00972BE7">
        <w:trPr>
          <w:trHeight w:val="403"/>
        </w:trPr>
        <w:tc>
          <w:tcPr>
            <w:tcW w:w="2552"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i/>
                <w:szCs w:val="24"/>
              </w:rPr>
              <w:t>Fibrilación auricular</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19 (82,6%)</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37 (72,5%)</w:t>
            </w:r>
          </w:p>
        </w:tc>
        <w:tc>
          <w:tcPr>
            <w:tcW w:w="195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1,80 (0,52-6,22)</w:t>
            </w:r>
          </w:p>
        </w:tc>
        <w:tc>
          <w:tcPr>
            <w:tcW w:w="1168"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0,265</w:t>
            </w:r>
          </w:p>
        </w:tc>
      </w:tr>
      <w:tr w:rsidR="00F254D6" w:rsidTr="00972BE7">
        <w:trPr>
          <w:trHeight w:val="357"/>
        </w:trPr>
        <w:tc>
          <w:tcPr>
            <w:tcW w:w="2552" w:type="dxa"/>
          </w:tcPr>
          <w:p w:rsidR="00F254D6" w:rsidRPr="00972BE7" w:rsidRDefault="00E01129" w:rsidP="00593074">
            <w:pPr>
              <w:spacing w:line="360" w:lineRule="auto"/>
              <w:jc w:val="both"/>
              <w:rPr>
                <w:rFonts w:ascii="Arial" w:eastAsia="Arial" w:hAnsi="Arial" w:cs="Arial"/>
                <w:szCs w:val="24"/>
              </w:rPr>
            </w:pPr>
            <w:proofErr w:type="spellStart"/>
            <w:r w:rsidRPr="00972BE7">
              <w:rPr>
                <w:rFonts w:ascii="Arial" w:eastAsia="Arial" w:hAnsi="Arial" w:cs="Arial"/>
                <w:i/>
                <w:szCs w:val="24"/>
                <w:u w:val="single"/>
              </w:rPr>
              <w:t>Etiología</w:t>
            </w:r>
            <w:r w:rsidRPr="00972BE7">
              <w:rPr>
                <w:rFonts w:ascii="Arial" w:eastAsia="Arial" w:hAnsi="Arial" w:cs="Arial"/>
                <w:i/>
                <w:szCs w:val="24"/>
              </w:rPr>
              <w:t>Reumática</w:t>
            </w:r>
            <w:proofErr w:type="spellEnd"/>
          </w:p>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i/>
                <w:szCs w:val="24"/>
              </w:rPr>
              <w:t>Degenerativa</w:t>
            </w:r>
          </w:p>
          <w:p w:rsidR="00F254D6" w:rsidRPr="00972BE7" w:rsidRDefault="00E01129" w:rsidP="00593074">
            <w:pPr>
              <w:spacing w:line="360" w:lineRule="auto"/>
              <w:jc w:val="both"/>
              <w:rPr>
                <w:rFonts w:ascii="Arial" w:eastAsia="Arial" w:hAnsi="Arial" w:cs="Arial"/>
                <w:szCs w:val="24"/>
                <w:u w:val="single"/>
              </w:rPr>
            </w:pPr>
            <w:r w:rsidRPr="00972BE7">
              <w:rPr>
                <w:rFonts w:ascii="Arial" w:eastAsia="Arial" w:hAnsi="Arial" w:cs="Arial"/>
                <w:i/>
                <w:szCs w:val="24"/>
              </w:rPr>
              <w:t>Infecciosa</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7 (30,4%)</w:t>
            </w:r>
          </w:p>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15 (65,2%)</w:t>
            </w:r>
          </w:p>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1 (4,3%)</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21 (41,2%)</w:t>
            </w:r>
          </w:p>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27 (52,9%)</w:t>
            </w:r>
          </w:p>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3 (5,9%)</w:t>
            </w:r>
          </w:p>
        </w:tc>
        <w:tc>
          <w:tcPr>
            <w:tcW w:w="195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0,63 (0,22-1,78)</w:t>
            </w:r>
          </w:p>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1,67 (0,60-4,62)</w:t>
            </w:r>
          </w:p>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0,73 (0,07-7,39)</w:t>
            </w:r>
          </w:p>
        </w:tc>
        <w:tc>
          <w:tcPr>
            <w:tcW w:w="1168" w:type="dxa"/>
          </w:tcPr>
          <w:p w:rsidR="00F254D6" w:rsidRPr="00972BE7" w:rsidRDefault="00F254D6" w:rsidP="00593074">
            <w:pPr>
              <w:spacing w:line="360" w:lineRule="auto"/>
              <w:jc w:val="both"/>
              <w:rPr>
                <w:rFonts w:ascii="Arial" w:eastAsia="Arial" w:hAnsi="Arial" w:cs="Arial"/>
                <w:szCs w:val="24"/>
              </w:rPr>
            </w:pPr>
          </w:p>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0,611</w:t>
            </w:r>
          </w:p>
        </w:tc>
      </w:tr>
    </w:tbl>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IMC: Índice de masa corporal.</w:t>
      </w: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 xml:space="preserve">En los pacientes que presentaron una disminución postoperatoria de la FEVI, la edad media fue mayor (63,1±10,7 frente a 59,0±9,1 años), así como el porcentaje de mujeres (69,6% frente a 62,7%). También se encontró un mayor porcentaje de FA (82,6% frente a 72,5%) y de enfermedad degenerativa como etiología de la valvulopatía (65,2% frente a 52,9%). No obstante, ninguna de las variables clínicas incluidas mostró diferencias significativas entre los grupos de comparación. El IMC fue bastante similar entre ambos grupos (Tabla </w:t>
      </w:r>
      <w:r w:rsidR="00972BE7">
        <w:rPr>
          <w:rFonts w:ascii="Arial" w:eastAsia="Arial" w:hAnsi="Arial" w:cs="Arial"/>
          <w:sz w:val="24"/>
          <w:szCs w:val="24"/>
        </w:rPr>
        <w:t>1</w:t>
      </w:r>
      <w:r>
        <w:rPr>
          <w:rFonts w:ascii="Arial" w:eastAsia="Arial" w:hAnsi="Arial" w:cs="Arial"/>
          <w:sz w:val="24"/>
          <w:szCs w:val="24"/>
        </w:rPr>
        <w:t xml:space="preserve">). </w:t>
      </w:r>
    </w:p>
    <w:p w:rsidR="00F254D6" w:rsidRDefault="00F254D6" w:rsidP="00593074">
      <w:pPr>
        <w:spacing w:after="0" w:line="360" w:lineRule="auto"/>
        <w:jc w:val="both"/>
        <w:rPr>
          <w:rFonts w:ascii="Arial" w:eastAsia="Arial" w:hAnsi="Arial" w:cs="Arial"/>
          <w:sz w:val="24"/>
          <w:szCs w:val="24"/>
        </w:rPr>
      </w:pP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 xml:space="preserve">Tabla </w:t>
      </w:r>
      <w:r w:rsidR="00972BE7">
        <w:rPr>
          <w:rFonts w:ascii="Arial" w:eastAsia="Arial" w:hAnsi="Arial" w:cs="Arial"/>
          <w:sz w:val="24"/>
          <w:szCs w:val="24"/>
        </w:rPr>
        <w:t>2</w:t>
      </w:r>
      <w:r>
        <w:rPr>
          <w:rFonts w:ascii="Arial" w:eastAsia="Arial" w:hAnsi="Arial" w:cs="Arial"/>
          <w:sz w:val="24"/>
          <w:szCs w:val="24"/>
        </w:rPr>
        <w:t xml:space="preserve">. Parámetros ecocardiográficos de los pacientes en estudio según presencia o no de disfunción ventricular postoperatoria a mediano plazo. </w:t>
      </w:r>
    </w:p>
    <w:tbl>
      <w:tblPr>
        <w:tblStyle w:val="Tablaconcuadrcula"/>
        <w:tblW w:w="9215" w:type="dxa"/>
        <w:tblLayout w:type="fixed"/>
        <w:tblLook w:val="0000" w:firstRow="0" w:lastRow="0" w:firstColumn="0" w:lastColumn="0" w:noHBand="0" w:noVBand="0"/>
      </w:tblPr>
      <w:tblGrid>
        <w:gridCol w:w="2694"/>
        <w:gridCol w:w="1701"/>
        <w:gridCol w:w="1701"/>
        <w:gridCol w:w="1843"/>
        <w:gridCol w:w="1276"/>
      </w:tblGrid>
      <w:tr w:rsidR="00F254D6" w:rsidRPr="00972BE7" w:rsidTr="00972BE7">
        <w:trPr>
          <w:trHeight w:val="265"/>
        </w:trPr>
        <w:tc>
          <w:tcPr>
            <w:tcW w:w="2694" w:type="dxa"/>
            <w:vMerge w:val="restart"/>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i/>
                <w:szCs w:val="24"/>
              </w:rPr>
              <w:t>Parámetros</w:t>
            </w:r>
          </w:p>
        </w:tc>
        <w:tc>
          <w:tcPr>
            <w:tcW w:w="3402" w:type="dxa"/>
            <w:gridSpan w:val="2"/>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Disfunción ventricular</w:t>
            </w:r>
          </w:p>
        </w:tc>
        <w:tc>
          <w:tcPr>
            <w:tcW w:w="1843" w:type="dxa"/>
            <w:vMerge w:val="restart"/>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OR (IC 95%)</w:t>
            </w:r>
          </w:p>
          <w:p w:rsidR="00F254D6" w:rsidRPr="00972BE7" w:rsidRDefault="00F254D6" w:rsidP="00593074">
            <w:pPr>
              <w:spacing w:line="360" w:lineRule="auto"/>
              <w:jc w:val="both"/>
              <w:rPr>
                <w:rFonts w:ascii="Arial" w:eastAsia="Arial" w:hAnsi="Arial" w:cs="Arial"/>
                <w:szCs w:val="24"/>
              </w:rPr>
            </w:pPr>
          </w:p>
        </w:tc>
        <w:tc>
          <w:tcPr>
            <w:tcW w:w="1276" w:type="dxa"/>
            <w:vMerge w:val="restart"/>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p</w:t>
            </w:r>
          </w:p>
        </w:tc>
      </w:tr>
      <w:tr w:rsidR="00F254D6" w:rsidRPr="00972BE7" w:rsidTr="00972BE7">
        <w:trPr>
          <w:trHeight w:val="288"/>
        </w:trPr>
        <w:tc>
          <w:tcPr>
            <w:tcW w:w="2694" w:type="dxa"/>
            <w:vMerge/>
          </w:tcPr>
          <w:p w:rsidR="00F254D6" w:rsidRPr="00972BE7" w:rsidRDefault="00F254D6" w:rsidP="00593074">
            <w:pPr>
              <w:widowControl w:val="0"/>
              <w:pBdr>
                <w:top w:val="nil"/>
                <w:left w:val="nil"/>
                <w:bottom w:val="nil"/>
                <w:right w:val="nil"/>
                <w:between w:val="nil"/>
              </w:pBdr>
              <w:spacing w:line="360" w:lineRule="auto"/>
              <w:jc w:val="both"/>
              <w:rPr>
                <w:rFonts w:ascii="Arial" w:eastAsia="Arial" w:hAnsi="Arial" w:cs="Arial"/>
                <w:szCs w:val="24"/>
              </w:rPr>
            </w:pP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Si n=23</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No n=51</w:t>
            </w:r>
          </w:p>
        </w:tc>
        <w:tc>
          <w:tcPr>
            <w:tcW w:w="1843" w:type="dxa"/>
            <w:vMerge/>
          </w:tcPr>
          <w:p w:rsidR="00F254D6" w:rsidRPr="00972BE7" w:rsidRDefault="00F254D6" w:rsidP="00593074">
            <w:pPr>
              <w:widowControl w:val="0"/>
              <w:pBdr>
                <w:top w:val="nil"/>
                <w:left w:val="nil"/>
                <w:bottom w:val="nil"/>
                <w:right w:val="nil"/>
                <w:between w:val="nil"/>
              </w:pBdr>
              <w:spacing w:line="360" w:lineRule="auto"/>
              <w:jc w:val="both"/>
              <w:rPr>
                <w:rFonts w:ascii="Arial" w:eastAsia="Arial" w:hAnsi="Arial" w:cs="Arial"/>
                <w:szCs w:val="24"/>
              </w:rPr>
            </w:pPr>
          </w:p>
        </w:tc>
        <w:tc>
          <w:tcPr>
            <w:tcW w:w="1276" w:type="dxa"/>
            <w:vMerge/>
          </w:tcPr>
          <w:p w:rsidR="00F254D6" w:rsidRPr="00972BE7" w:rsidRDefault="00F254D6" w:rsidP="00593074">
            <w:pPr>
              <w:widowControl w:val="0"/>
              <w:pBdr>
                <w:top w:val="nil"/>
                <w:left w:val="nil"/>
                <w:bottom w:val="nil"/>
                <w:right w:val="nil"/>
                <w:between w:val="nil"/>
              </w:pBdr>
              <w:spacing w:line="360" w:lineRule="auto"/>
              <w:jc w:val="both"/>
              <w:rPr>
                <w:rFonts w:ascii="Arial" w:eastAsia="Arial" w:hAnsi="Arial" w:cs="Arial"/>
                <w:szCs w:val="24"/>
              </w:rPr>
            </w:pPr>
          </w:p>
        </w:tc>
      </w:tr>
      <w:tr w:rsidR="00F254D6" w:rsidRPr="00972BE7" w:rsidTr="00972BE7">
        <w:tc>
          <w:tcPr>
            <w:tcW w:w="2694"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i/>
                <w:szCs w:val="24"/>
              </w:rPr>
              <w:t>FEVI (%)</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61,5±10</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66,0±7</w:t>
            </w:r>
          </w:p>
        </w:tc>
        <w:tc>
          <w:tcPr>
            <w:tcW w:w="1843"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w:t>
            </w:r>
          </w:p>
        </w:tc>
        <w:tc>
          <w:tcPr>
            <w:tcW w:w="127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0,038*</w:t>
            </w:r>
          </w:p>
        </w:tc>
      </w:tr>
      <w:tr w:rsidR="00F254D6" w:rsidRPr="00972BE7" w:rsidTr="00972BE7">
        <w:trPr>
          <w:trHeight w:val="299"/>
        </w:trPr>
        <w:tc>
          <w:tcPr>
            <w:tcW w:w="2694" w:type="dxa"/>
          </w:tcPr>
          <w:p w:rsidR="00F254D6" w:rsidRPr="00972BE7" w:rsidRDefault="00E01129" w:rsidP="00593074">
            <w:pPr>
              <w:spacing w:line="360" w:lineRule="auto"/>
              <w:jc w:val="both"/>
              <w:rPr>
                <w:rFonts w:ascii="Arial" w:eastAsia="Arial" w:hAnsi="Arial" w:cs="Arial"/>
                <w:szCs w:val="24"/>
              </w:rPr>
            </w:pPr>
            <w:proofErr w:type="spellStart"/>
            <w:r w:rsidRPr="00972BE7">
              <w:rPr>
                <w:rFonts w:ascii="Arial" w:eastAsia="Arial" w:hAnsi="Arial" w:cs="Arial"/>
                <w:b/>
                <w:i/>
                <w:szCs w:val="24"/>
              </w:rPr>
              <w:t>DtdVI</w:t>
            </w:r>
            <w:proofErr w:type="spellEnd"/>
            <w:r w:rsidRPr="00972BE7">
              <w:rPr>
                <w:rFonts w:ascii="Arial" w:eastAsia="Arial" w:hAnsi="Arial" w:cs="Arial"/>
                <w:b/>
                <w:i/>
                <w:szCs w:val="24"/>
              </w:rPr>
              <w:t xml:space="preserve"> (mm)</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54±7</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49±6</w:t>
            </w:r>
          </w:p>
        </w:tc>
        <w:tc>
          <w:tcPr>
            <w:tcW w:w="1843"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w:t>
            </w:r>
          </w:p>
        </w:tc>
        <w:tc>
          <w:tcPr>
            <w:tcW w:w="127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0,078</w:t>
            </w:r>
          </w:p>
        </w:tc>
      </w:tr>
      <w:tr w:rsidR="00F254D6" w:rsidRPr="00972BE7" w:rsidTr="00972BE7">
        <w:trPr>
          <w:trHeight w:val="242"/>
        </w:trPr>
        <w:tc>
          <w:tcPr>
            <w:tcW w:w="2694" w:type="dxa"/>
          </w:tcPr>
          <w:p w:rsidR="00F254D6" w:rsidRPr="00972BE7" w:rsidRDefault="00E01129" w:rsidP="00593074">
            <w:pPr>
              <w:spacing w:line="360" w:lineRule="auto"/>
              <w:jc w:val="both"/>
              <w:rPr>
                <w:rFonts w:ascii="Arial" w:eastAsia="Arial" w:hAnsi="Arial" w:cs="Arial"/>
                <w:szCs w:val="24"/>
              </w:rPr>
            </w:pPr>
            <w:proofErr w:type="spellStart"/>
            <w:r w:rsidRPr="00972BE7">
              <w:rPr>
                <w:rFonts w:ascii="Arial" w:eastAsia="Arial" w:hAnsi="Arial" w:cs="Arial"/>
                <w:b/>
                <w:i/>
                <w:szCs w:val="24"/>
              </w:rPr>
              <w:t>DtsVI</w:t>
            </w:r>
            <w:proofErr w:type="spellEnd"/>
            <w:r w:rsidRPr="00972BE7">
              <w:rPr>
                <w:rFonts w:ascii="Arial" w:eastAsia="Arial" w:hAnsi="Arial" w:cs="Arial"/>
                <w:b/>
                <w:i/>
                <w:szCs w:val="24"/>
              </w:rPr>
              <w:t xml:space="preserve"> (mm)</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40±7</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35±4</w:t>
            </w:r>
          </w:p>
        </w:tc>
        <w:tc>
          <w:tcPr>
            <w:tcW w:w="1843"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w:t>
            </w:r>
          </w:p>
        </w:tc>
        <w:tc>
          <w:tcPr>
            <w:tcW w:w="127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0,011*</w:t>
            </w:r>
          </w:p>
        </w:tc>
      </w:tr>
      <w:tr w:rsidR="00F254D6" w:rsidRPr="00972BE7" w:rsidTr="00972BE7">
        <w:trPr>
          <w:trHeight w:val="142"/>
        </w:trPr>
        <w:tc>
          <w:tcPr>
            <w:tcW w:w="2694" w:type="dxa"/>
          </w:tcPr>
          <w:p w:rsidR="00F254D6" w:rsidRPr="00972BE7" w:rsidRDefault="00E01129" w:rsidP="00593074">
            <w:pPr>
              <w:spacing w:line="360" w:lineRule="auto"/>
              <w:jc w:val="both"/>
              <w:rPr>
                <w:rFonts w:ascii="Arial" w:eastAsia="Arial" w:hAnsi="Arial" w:cs="Arial"/>
                <w:szCs w:val="24"/>
              </w:rPr>
            </w:pPr>
            <w:proofErr w:type="spellStart"/>
            <w:r w:rsidRPr="00972BE7">
              <w:rPr>
                <w:rFonts w:ascii="Arial" w:eastAsia="Arial" w:hAnsi="Arial" w:cs="Arial"/>
                <w:b/>
                <w:i/>
                <w:szCs w:val="24"/>
              </w:rPr>
              <w:t>VtdVI</w:t>
            </w:r>
            <w:proofErr w:type="spellEnd"/>
            <w:r w:rsidRPr="00972BE7">
              <w:rPr>
                <w:rFonts w:ascii="Arial" w:eastAsia="Arial" w:hAnsi="Arial" w:cs="Arial"/>
                <w:b/>
                <w:i/>
                <w:szCs w:val="24"/>
              </w:rPr>
              <w:t xml:space="preserve"> (ml)</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175±37</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145±45</w:t>
            </w:r>
          </w:p>
        </w:tc>
        <w:tc>
          <w:tcPr>
            <w:tcW w:w="1843"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w:t>
            </w:r>
          </w:p>
        </w:tc>
        <w:tc>
          <w:tcPr>
            <w:tcW w:w="127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0,252</w:t>
            </w:r>
          </w:p>
        </w:tc>
      </w:tr>
      <w:tr w:rsidR="00F254D6" w:rsidRPr="00972BE7" w:rsidTr="00972BE7">
        <w:trPr>
          <w:trHeight w:val="288"/>
        </w:trPr>
        <w:tc>
          <w:tcPr>
            <w:tcW w:w="2694" w:type="dxa"/>
          </w:tcPr>
          <w:p w:rsidR="00F254D6" w:rsidRPr="00972BE7" w:rsidRDefault="00E01129" w:rsidP="00593074">
            <w:pPr>
              <w:spacing w:line="360" w:lineRule="auto"/>
              <w:jc w:val="both"/>
              <w:rPr>
                <w:rFonts w:ascii="Arial" w:eastAsia="Arial" w:hAnsi="Arial" w:cs="Arial"/>
                <w:szCs w:val="24"/>
              </w:rPr>
            </w:pPr>
            <w:proofErr w:type="spellStart"/>
            <w:r w:rsidRPr="00972BE7">
              <w:rPr>
                <w:rFonts w:ascii="Arial" w:eastAsia="Arial" w:hAnsi="Arial" w:cs="Arial"/>
                <w:b/>
                <w:i/>
                <w:szCs w:val="24"/>
              </w:rPr>
              <w:t>VtsVI</w:t>
            </w:r>
            <w:proofErr w:type="spellEnd"/>
            <w:r w:rsidRPr="00972BE7">
              <w:rPr>
                <w:rFonts w:ascii="Arial" w:eastAsia="Arial" w:hAnsi="Arial" w:cs="Arial"/>
                <w:b/>
                <w:i/>
                <w:szCs w:val="24"/>
              </w:rPr>
              <w:t xml:space="preserve"> (ml)</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63±20</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50±23</w:t>
            </w:r>
          </w:p>
        </w:tc>
        <w:tc>
          <w:tcPr>
            <w:tcW w:w="1843"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w:t>
            </w:r>
          </w:p>
        </w:tc>
        <w:tc>
          <w:tcPr>
            <w:tcW w:w="127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0,408</w:t>
            </w:r>
          </w:p>
        </w:tc>
      </w:tr>
      <w:tr w:rsidR="00F254D6" w:rsidRPr="00972BE7" w:rsidTr="00972BE7">
        <w:tc>
          <w:tcPr>
            <w:tcW w:w="2694" w:type="dxa"/>
          </w:tcPr>
          <w:p w:rsidR="00F254D6" w:rsidRPr="00972BE7" w:rsidRDefault="00E01129" w:rsidP="00593074">
            <w:pPr>
              <w:spacing w:line="360" w:lineRule="auto"/>
              <w:jc w:val="both"/>
              <w:rPr>
                <w:rFonts w:ascii="Arial" w:eastAsia="Arial" w:hAnsi="Arial" w:cs="Arial"/>
                <w:szCs w:val="24"/>
                <w:lang w:val="en-US"/>
              </w:rPr>
            </w:pPr>
            <w:proofErr w:type="spellStart"/>
            <w:r w:rsidRPr="00972BE7">
              <w:rPr>
                <w:rFonts w:ascii="Arial" w:eastAsia="Arial" w:hAnsi="Arial" w:cs="Arial"/>
                <w:b/>
                <w:i/>
                <w:szCs w:val="24"/>
                <w:lang w:val="en-US"/>
              </w:rPr>
              <w:t>Dp</w:t>
            </w:r>
            <w:proofErr w:type="spellEnd"/>
            <w:r w:rsidRPr="00972BE7">
              <w:rPr>
                <w:rFonts w:ascii="Arial" w:eastAsia="Arial" w:hAnsi="Arial" w:cs="Arial"/>
                <w:b/>
                <w:i/>
                <w:szCs w:val="24"/>
                <w:lang w:val="en-US"/>
              </w:rPr>
              <w:t>/Dt VI (mmHg/seg</w:t>
            </w:r>
            <w:r w:rsidRPr="00972BE7">
              <w:rPr>
                <w:rFonts w:ascii="Arial" w:eastAsia="Arial" w:hAnsi="Arial" w:cs="Arial"/>
                <w:b/>
                <w:i/>
                <w:szCs w:val="24"/>
                <w:vertAlign w:val="superscript"/>
                <w:lang w:val="en-US"/>
              </w:rPr>
              <w:t>2</w:t>
            </w:r>
            <w:r w:rsidRPr="00972BE7">
              <w:rPr>
                <w:rFonts w:ascii="Arial" w:eastAsia="Arial" w:hAnsi="Arial" w:cs="Arial"/>
                <w:b/>
                <w:i/>
                <w:szCs w:val="24"/>
                <w:lang w:val="en-US"/>
              </w:rPr>
              <w:t>)</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1201±309</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1472±527</w:t>
            </w:r>
          </w:p>
        </w:tc>
        <w:tc>
          <w:tcPr>
            <w:tcW w:w="1843"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w:t>
            </w:r>
          </w:p>
        </w:tc>
        <w:tc>
          <w:tcPr>
            <w:tcW w:w="127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0,008*</w:t>
            </w:r>
          </w:p>
        </w:tc>
      </w:tr>
      <w:tr w:rsidR="00F254D6" w:rsidRPr="00972BE7" w:rsidTr="00972BE7">
        <w:trPr>
          <w:trHeight w:val="368"/>
        </w:trPr>
        <w:tc>
          <w:tcPr>
            <w:tcW w:w="2694"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i/>
                <w:szCs w:val="24"/>
              </w:rPr>
              <w:lastRenderedPageBreak/>
              <w:t>Volumen de AI (ml)</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124±39</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93±27</w:t>
            </w:r>
          </w:p>
        </w:tc>
        <w:tc>
          <w:tcPr>
            <w:tcW w:w="1843"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w:t>
            </w:r>
          </w:p>
        </w:tc>
        <w:tc>
          <w:tcPr>
            <w:tcW w:w="127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0,082</w:t>
            </w:r>
          </w:p>
        </w:tc>
      </w:tr>
      <w:tr w:rsidR="00F254D6" w:rsidRPr="00972BE7" w:rsidTr="00972BE7">
        <w:trPr>
          <w:trHeight w:val="196"/>
        </w:trPr>
        <w:tc>
          <w:tcPr>
            <w:tcW w:w="2694"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i/>
                <w:szCs w:val="24"/>
              </w:rPr>
              <w:t>PS pulmonar (</w:t>
            </w:r>
            <w:proofErr w:type="spellStart"/>
            <w:r w:rsidRPr="00972BE7">
              <w:rPr>
                <w:rFonts w:ascii="Arial" w:eastAsia="Arial" w:hAnsi="Arial" w:cs="Arial"/>
                <w:b/>
                <w:i/>
                <w:szCs w:val="24"/>
              </w:rPr>
              <w:t>mmHg</w:t>
            </w:r>
            <w:proofErr w:type="spellEnd"/>
            <w:r w:rsidRPr="00972BE7">
              <w:rPr>
                <w:rFonts w:ascii="Arial" w:eastAsia="Arial" w:hAnsi="Arial" w:cs="Arial"/>
                <w:b/>
                <w:i/>
                <w:szCs w:val="24"/>
              </w:rPr>
              <w:t>)</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43,0±11,0</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35,8±9,0</w:t>
            </w:r>
          </w:p>
        </w:tc>
        <w:tc>
          <w:tcPr>
            <w:tcW w:w="1843"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w:t>
            </w:r>
          </w:p>
        </w:tc>
        <w:tc>
          <w:tcPr>
            <w:tcW w:w="127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0,240</w:t>
            </w:r>
          </w:p>
        </w:tc>
      </w:tr>
    </w:tbl>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 xml:space="preserve">AI: Aurícula izquierda; FEVI: Fracción de eyección del ventrículo izquierdo; PS: Presión sistólica; </w:t>
      </w:r>
      <w:proofErr w:type="spellStart"/>
      <w:r>
        <w:rPr>
          <w:rFonts w:ascii="Arial" w:eastAsia="Arial" w:hAnsi="Arial" w:cs="Arial"/>
          <w:sz w:val="24"/>
          <w:szCs w:val="24"/>
        </w:rPr>
        <w:t>Dtd</w:t>
      </w:r>
      <w:proofErr w:type="spellEnd"/>
      <w:r>
        <w:rPr>
          <w:rFonts w:ascii="Arial" w:eastAsia="Arial" w:hAnsi="Arial" w:cs="Arial"/>
          <w:sz w:val="24"/>
          <w:szCs w:val="24"/>
        </w:rPr>
        <w:t xml:space="preserve">: Diámetro </w:t>
      </w:r>
      <w:proofErr w:type="spellStart"/>
      <w:r>
        <w:rPr>
          <w:rFonts w:ascii="Arial" w:eastAsia="Arial" w:hAnsi="Arial" w:cs="Arial"/>
          <w:sz w:val="24"/>
          <w:szCs w:val="24"/>
        </w:rPr>
        <w:t>tele-diastólico</w:t>
      </w:r>
      <w:proofErr w:type="spellEnd"/>
      <w:r>
        <w:rPr>
          <w:rFonts w:ascii="Arial" w:eastAsia="Arial" w:hAnsi="Arial" w:cs="Arial"/>
          <w:sz w:val="24"/>
          <w:szCs w:val="24"/>
        </w:rPr>
        <w:t xml:space="preserve">; </w:t>
      </w:r>
      <w:proofErr w:type="spellStart"/>
      <w:r>
        <w:rPr>
          <w:rFonts w:ascii="Arial" w:eastAsia="Arial" w:hAnsi="Arial" w:cs="Arial"/>
          <w:sz w:val="24"/>
          <w:szCs w:val="24"/>
        </w:rPr>
        <w:t>Dts</w:t>
      </w:r>
      <w:proofErr w:type="spellEnd"/>
      <w:r>
        <w:rPr>
          <w:rFonts w:ascii="Arial" w:eastAsia="Arial" w:hAnsi="Arial" w:cs="Arial"/>
          <w:sz w:val="24"/>
          <w:szCs w:val="24"/>
        </w:rPr>
        <w:t xml:space="preserve">: Diámetro </w:t>
      </w:r>
      <w:proofErr w:type="spellStart"/>
      <w:r>
        <w:rPr>
          <w:rFonts w:ascii="Arial" w:eastAsia="Arial" w:hAnsi="Arial" w:cs="Arial"/>
          <w:sz w:val="24"/>
          <w:szCs w:val="24"/>
        </w:rPr>
        <w:t>tele-sistólico</w:t>
      </w:r>
      <w:proofErr w:type="spellEnd"/>
      <w:r>
        <w:rPr>
          <w:rFonts w:ascii="Arial" w:eastAsia="Arial" w:hAnsi="Arial" w:cs="Arial"/>
          <w:sz w:val="24"/>
          <w:szCs w:val="24"/>
        </w:rPr>
        <w:t xml:space="preserve">; </w:t>
      </w:r>
      <w:proofErr w:type="spellStart"/>
      <w:r>
        <w:rPr>
          <w:rFonts w:ascii="Arial" w:eastAsia="Arial" w:hAnsi="Arial" w:cs="Arial"/>
          <w:sz w:val="24"/>
          <w:szCs w:val="24"/>
        </w:rPr>
        <w:t>Vtd</w:t>
      </w:r>
      <w:proofErr w:type="spellEnd"/>
      <w:r>
        <w:rPr>
          <w:rFonts w:ascii="Arial" w:eastAsia="Arial" w:hAnsi="Arial" w:cs="Arial"/>
          <w:sz w:val="24"/>
          <w:szCs w:val="24"/>
        </w:rPr>
        <w:t xml:space="preserve">: Volumen </w:t>
      </w:r>
      <w:proofErr w:type="spellStart"/>
      <w:r>
        <w:rPr>
          <w:rFonts w:ascii="Arial" w:eastAsia="Arial" w:hAnsi="Arial" w:cs="Arial"/>
          <w:sz w:val="24"/>
          <w:szCs w:val="24"/>
        </w:rPr>
        <w:t>tele-diastólico</w:t>
      </w:r>
      <w:proofErr w:type="spellEnd"/>
      <w:r>
        <w:rPr>
          <w:rFonts w:ascii="Arial" w:eastAsia="Arial" w:hAnsi="Arial" w:cs="Arial"/>
          <w:sz w:val="24"/>
          <w:szCs w:val="24"/>
        </w:rPr>
        <w:t xml:space="preserve">; </w:t>
      </w:r>
      <w:proofErr w:type="spellStart"/>
      <w:r>
        <w:rPr>
          <w:rFonts w:ascii="Arial" w:eastAsia="Arial" w:hAnsi="Arial" w:cs="Arial"/>
          <w:sz w:val="24"/>
          <w:szCs w:val="24"/>
        </w:rPr>
        <w:t>Vts</w:t>
      </w:r>
      <w:proofErr w:type="spellEnd"/>
      <w:r>
        <w:rPr>
          <w:rFonts w:ascii="Arial" w:eastAsia="Arial" w:hAnsi="Arial" w:cs="Arial"/>
          <w:sz w:val="24"/>
          <w:szCs w:val="24"/>
        </w:rPr>
        <w:t xml:space="preserve">: Volumen </w:t>
      </w:r>
      <w:proofErr w:type="spellStart"/>
      <w:r>
        <w:rPr>
          <w:rFonts w:ascii="Arial" w:eastAsia="Arial" w:hAnsi="Arial" w:cs="Arial"/>
          <w:sz w:val="24"/>
          <w:szCs w:val="24"/>
        </w:rPr>
        <w:t>telesistólico</w:t>
      </w:r>
      <w:proofErr w:type="spellEnd"/>
      <w:r>
        <w:rPr>
          <w:rFonts w:ascii="Arial" w:eastAsia="Arial" w:hAnsi="Arial" w:cs="Arial"/>
          <w:sz w:val="24"/>
          <w:szCs w:val="24"/>
        </w:rPr>
        <w:t>.</w:t>
      </w:r>
    </w:p>
    <w:p w:rsidR="00F254D6" w:rsidRDefault="00F254D6" w:rsidP="00593074">
      <w:pPr>
        <w:spacing w:after="0" w:line="360" w:lineRule="auto"/>
        <w:jc w:val="both"/>
        <w:rPr>
          <w:rFonts w:ascii="Arial" w:eastAsia="Arial" w:hAnsi="Arial" w:cs="Arial"/>
          <w:sz w:val="24"/>
          <w:szCs w:val="24"/>
        </w:rPr>
      </w:pP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 xml:space="preserve">Los pacientes con disminución postoperatoria de la FEVI mostraron valores significativamente menores de FEVI preoperatoria (61,5±10 frente a 66,0±7%), así como del </w:t>
      </w:r>
      <w:proofErr w:type="spellStart"/>
      <w:r>
        <w:rPr>
          <w:rFonts w:ascii="Arial" w:eastAsia="Arial" w:hAnsi="Arial" w:cs="Arial"/>
          <w:sz w:val="24"/>
          <w:szCs w:val="24"/>
        </w:rPr>
        <w:t>Dp</w:t>
      </w:r>
      <w:proofErr w:type="spellEnd"/>
      <w:r>
        <w:rPr>
          <w:rFonts w:ascii="Arial" w:eastAsia="Arial" w:hAnsi="Arial" w:cs="Arial"/>
          <w:sz w:val="24"/>
          <w:szCs w:val="24"/>
        </w:rPr>
        <w:t>/</w:t>
      </w:r>
      <w:proofErr w:type="spellStart"/>
      <w:r>
        <w:rPr>
          <w:rFonts w:ascii="Arial" w:eastAsia="Arial" w:hAnsi="Arial" w:cs="Arial"/>
          <w:sz w:val="24"/>
          <w:szCs w:val="24"/>
        </w:rPr>
        <w:t>Dt</w:t>
      </w:r>
      <w:proofErr w:type="spellEnd"/>
      <w:r>
        <w:rPr>
          <w:rFonts w:ascii="Arial" w:eastAsia="Arial" w:hAnsi="Arial" w:cs="Arial"/>
          <w:sz w:val="24"/>
          <w:szCs w:val="24"/>
        </w:rPr>
        <w:t xml:space="preserve"> del VI (1201±309 frente a 1472±527 </w:t>
      </w:r>
      <w:proofErr w:type="spellStart"/>
      <w:r>
        <w:rPr>
          <w:rFonts w:ascii="Arial" w:eastAsia="Arial" w:hAnsi="Arial" w:cs="Arial"/>
          <w:sz w:val="24"/>
          <w:szCs w:val="24"/>
        </w:rPr>
        <w:t>mmHg</w:t>
      </w:r>
      <w:proofErr w:type="spellEnd"/>
      <w:r>
        <w:rPr>
          <w:rFonts w:ascii="Arial" w:eastAsia="Arial" w:hAnsi="Arial" w:cs="Arial"/>
          <w:sz w:val="24"/>
          <w:szCs w:val="24"/>
        </w:rPr>
        <w:t>/seg</w:t>
      </w:r>
      <w:r>
        <w:rPr>
          <w:rFonts w:ascii="Arial" w:eastAsia="Arial" w:hAnsi="Arial" w:cs="Arial"/>
          <w:sz w:val="24"/>
          <w:szCs w:val="24"/>
          <w:vertAlign w:val="superscript"/>
        </w:rPr>
        <w:t>2</w:t>
      </w:r>
      <w:r>
        <w:rPr>
          <w:rFonts w:ascii="Arial" w:eastAsia="Arial" w:hAnsi="Arial" w:cs="Arial"/>
          <w:sz w:val="24"/>
          <w:szCs w:val="24"/>
        </w:rPr>
        <w:t xml:space="preserve">), mientras que los valores del </w:t>
      </w:r>
      <w:proofErr w:type="spellStart"/>
      <w:r>
        <w:rPr>
          <w:rFonts w:ascii="Arial" w:eastAsia="Arial" w:hAnsi="Arial" w:cs="Arial"/>
          <w:sz w:val="24"/>
          <w:szCs w:val="24"/>
        </w:rPr>
        <w:t>DtsVI</w:t>
      </w:r>
      <w:proofErr w:type="spellEnd"/>
      <w:r>
        <w:rPr>
          <w:rFonts w:ascii="Arial" w:eastAsia="Arial" w:hAnsi="Arial" w:cs="Arial"/>
          <w:sz w:val="24"/>
          <w:szCs w:val="24"/>
        </w:rPr>
        <w:t xml:space="preserve"> fueron significativamente mayores (40,0±7 frente a 35,0±4). El volumen de la AI fue también mayor, aunque las diferencias no fueron significativas. De manera similar no se encontró significación para las diferencias encontradas en cuanto a </w:t>
      </w:r>
      <w:proofErr w:type="spellStart"/>
      <w:r>
        <w:rPr>
          <w:rFonts w:ascii="Arial" w:eastAsia="Arial" w:hAnsi="Arial" w:cs="Arial"/>
          <w:sz w:val="24"/>
          <w:szCs w:val="24"/>
        </w:rPr>
        <w:t>DtdVI</w:t>
      </w:r>
      <w:proofErr w:type="spellEnd"/>
      <w:r>
        <w:rPr>
          <w:rFonts w:ascii="Arial" w:eastAsia="Arial" w:hAnsi="Arial" w:cs="Arial"/>
          <w:sz w:val="24"/>
          <w:szCs w:val="24"/>
        </w:rPr>
        <w:t xml:space="preserve">, </w:t>
      </w:r>
      <w:proofErr w:type="spellStart"/>
      <w:r>
        <w:rPr>
          <w:rFonts w:ascii="Arial" w:eastAsia="Arial" w:hAnsi="Arial" w:cs="Arial"/>
          <w:sz w:val="24"/>
          <w:szCs w:val="24"/>
        </w:rPr>
        <w:t>VtdVI</w:t>
      </w:r>
      <w:proofErr w:type="spellEnd"/>
      <w:r>
        <w:rPr>
          <w:rFonts w:ascii="Arial" w:eastAsia="Arial" w:hAnsi="Arial" w:cs="Arial"/>
          <w:sz w:val="24"/>
          <w:szCs w:val="24"/>
        </w:rPr>
        <w:t xml:space="preserve">, </w:t>
      </w:r>
      <w:proofErr w:type="spellStart"/>
      <w:r>
        <w:rPr>
          <w:rFonts w:ascii="Arial" w:eastAsia="Arial" w:hAnsi="Arial" w:cs="Arial"/>
          <w:sz w:val="24"/>
          <w:szCs w:val="24"/>
        </w:rPr>
        <w:t>VtsVI</w:t>
      </w:r>
      <w:proofErr w:type="spellEnd"/>
      <w:r>
        <w:rPr>
          <w:rFonts w:ascii="Arial" w:eastAsia="Arial" w:hAnsi="Arial" w:cs="Arial"/>
          <w:sz w:val="24"/>
          <w:szCs w:val="24"/>
        </w:rPr>
        <w:t xml:space="preserve"> y la PS pulmonar (Tabla </w:t>
      </w:r>
      <w:r w:rsidR="00972BE7">
        <w:rPr>
          <w:rFonts w:ascii="Arial" w:eastAsia="Arial" w:hAnsi="Arial" w:cs="Arial"/>
          <w:sz w:val="24"/>
          <w:szCs w:val="24"/>
        </w:rPr>
        <w:t>2</w:t>
      </w:r>
      <w:r>
        <w:rPr>
          <w:rFonts w:ascii="Arial" w:eastAsia="Arial" w:hAnsi="Arial" w:cs="Arial"/>
          <w:sz w:val="24"/>
          <w:szCs w:val="24"/>
        </w:rPr>
        <w:t xml:space="preserve">). </w:t>
      </w:r>
    </w:p>
    <w:p w:rsidR="00F254D6" w:rsidRDefault="00F254D6" w:rsidP="00593074">
      <w:pPr>
        <w:spacing w:after="0" w:line="360" w:lineRule="auto"/>
        <w:jc w:val="both"/>
        <w:rPr>
          <w:rFonts w:ascii="Arial" w:eastAsia="Arial" w:hAnsi="Arial" w:cs="Arial"/>
          <w:sz w:val="24"/>
          <w:szCs w:val="24"/>
        </w:rPr>
      </w:pP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 xml:space="preserve">Tabla </w:t>
      </w:r>
      <w:r w:rsidR="00972BE7">
        <w:rPr>
          <w:rFonts w:ascii="Arial" w:eastAsia="Arial" w:hAnsi="Arial" w:cs="Arial"/>
          <w:sz w:val="24"/>
          <w:szCs w:val="24"/>
        </w:rPr>
        <w:t>3</w:t>
      </w:r>
      <w:r>
        <w:rPr>
          <w:rFonts w:ascii="Arial" w:eastAsia="Arial" w:hAnsi="Arial" w:cs="Arial"/>
          <w:sz w:val="24"/>
          <w:szCs w:val="24"/>
        </w:rPr>
        <w:t xml:space="preserve">. Parámetros de deformación miocárdica según presencia o no de disfunción ventricular postoperatoria a mediano plazo. </w:t>
      </w:r>
    </w:p>
    <w:tbl>
      <w:tblPr>
        <w:tblStyle w:val="Tablaconcuadrcula"/>
        <w:tblW w:w="9073" w:type="dxa"/>
        <w:tblLayout w:type="fixed"/>
        <w:tblLook w:val="0000" w:firstRow="0" w:lastRow="0" w:firstColumn="0" w:lastColumn="0" w:noHBand="0" w:noVBand="0"/>
      </w:tblPr>
      <w:tblGrid>
        <w:gridCol w:w="2836"/>
        <w:gridCol w:w="1701"/>
        <w:gridCol w:w="1559"/>
        <w:gridCol w:w="1701"/>
        <w:gridCol w:w="1276"/>
      </w:tblGrid>
      <w:tr w:rsidR="00F254D6" w:rsidRPr="00972BE7" w:rsidTr="00972BE7">
        <w:trPr>
          <w:trHeight w:val="265"/>
        </w:trPr>
        <w:tc>
          <w:tcPr>
            <w:tcW w:w="2836" w:type="dxa"/>
            <w:vMerge w:val="restart"/>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i/>
                <w:szCs w:val="24"/>
              </w:rPr>
              <w:t>Parámetros</w:t>
            </w:r>
          </w:p>
        </w:tc>
        <w:tc>
          <w:tcPr>
            <w:tcW w:w="3260" w:type="dxa"/>
            <w:gridSpan w:val="2"/>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Disfunción ventricular</w:t>
            </w:r>
          </w:p>
        </w:tc>
        <w:tc>
          <w:tcPr>
            <w:tcW w:w="1701" w:type="dxa"/>
            <w:vMerge w:val="restart"/>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OR (IC 95%)</w:t>
            </w:r>
          </w:p>
        </w:tc>
        <w:tc>
          <w:tcPr>
            <w:tcW w:w="1276" w:type="dxa"/>
            <w:vMerge w:val="restart"/>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p</w:t>
            </w:r>
          </w:p>
        </w:tc>
      </w:tr>
      <w:tr w:rsidR="00F254D6" w:rsidRPr="00972BE7" w:rsidTr="00972BE7">
        <w:trPr>
          <w:trHeight w:val="288"/>
        </w:trPr>
        <w:tc>
          <w:tcPr>
            <w:tcW w:w="2836" w:type="dxa"/>
            <w:vMerge/>
          </w:tcPr>
          <w:p w:rsidR="00F254D6" w:rsidRPr="00972BE7" w:rsidRDefault="00F254D6" w:rsidP="00593074">
            <w:pPr>
              <w:widowControl w:val="0"/>
              <w:pBdr>
                <w:top w:val="nil"/>
                <w:left w:val="nil"/>
                <w:bottom w:val="nil"/>
                <w:right w:val="nil"/>
                <w:between w:val="nil"/>
              </w:pBdr>
              <w:spacing w:line="360" w:lineRule="auto"/>
              <w:jc w:val="both"/>
              <w:rPr>
                <w:rFonts w:ascii="Arial" w:eastAsia="Arial" w:hAnsi="Arial" w:cs="Arial"/>
                <w:szCs w:val="24"/>
              </w:rPr>
            </w:pP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Si n=23</w:t>
            </w:r>
          </w:p>
        </w:tc>
        <w:tc>
          <w:tcPr>
            <w:tcW w:w="1559"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No n=51</w:t>
            </w:r>
          </w:p>
        </w:tc>
        <w:tc>
          <w:tcPr>
            <w:tcW w:w="1701" w:type="dxa"/>
            <w:vMerge/>
          </w:tcPr>
          <w:p w:rsidR="00F254D6" w:rsidRPr="00972BE7" w:rsidRDefault="00F254D6" w:rsidP="00593074">
            <w:pPr>
              <w:widowControl w:val="0"/>
              <w:pBdr>
                <w:top w:val="nil"/>
                <w:left w:val="nil"/>
                <w:bottom w:val="nil"/>
                <w:right w:val="nil"/>
                <w:between w:val="nil"/>
              </w:pBdr>
              <w:spacing w:line="360" w:lineRule="auto"/>
              <w:jc w:val="both"/>
              <w:rPr>
                <w:rFonts w:ascii="Arial" w:eastAsia="Arial" w:hAnsi="Arial" w:cs="Arial"/>
                <w:szCs w:val="24"/>
              </w:rPr>
            </w:pPr>
          </w:p>
        </w:tc>
        <w:tc>
          <w:tcPr>
            <w:tcW w:w="1276" w:type="dxa"/>
            <w:vMerge/>
          </w:tcPr>
          <w:p w:rsidR="00F254D6" w:rsidRPr="00972BE7" w:rsidRDefault="00F254D6" w:rsidP="00593074">
            <w:pPr>
              <w:widowControl w:val="0"/>
              <w:pBdr>
                <w:top w:val="nil"/>
                <w:left w:val="nil"/>
                <w:bottom w:val="nil"/>
                <w:right w:val="nil"/>
                <w:between w:val="nil"/>
              </w:pBdr>
              <w:spacing w:line="360" w:lineRule="auto"/>
              <w:jc w:val="both"/>
              <w:rPr>
                <w:rFonts w:ascii="Arial" w:eastAsia="Arial" w:hAnsi="Arial" w:cs="Arial"/>
                <w:szCs w:val="24"/>
              </w:rPr>
            </w:pPr>
          </w:p>
        </w:tc>
      </w:tr>
      <w:tr w:rsidR="00F254D6" w:rsidRPr="00972BE7" w:rsidTr="00972BE7">
        <w:tc>
          <w:tcPr>
            <w:tcW w:w="283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i/>
                <w:szCs w:val="24"/>
              </w:rPr>
              <w:t>Sm basal (cm/</w:t>
            </w:r>
            <w:proofErr w:type="spellStart"/>
            <w:r w:rsidRPr="00972BE7">
              <w:rPr>
                <w:rFonts w:ascii="Arial" w:eastAsia="Arial" w:hAnsi="Arial" w:cs="Arial"/>
                <w:i/>
                <w:szCs w:val="24"/>
              </w:rPr>
              <w:t>seg</w:t>
            </w:r>
            <w:proofErr w:type="spellEnd"/>
            <w:r w:rsidRPr="00972BE7">
              <w:rPr>
                <w:rFonts w:ascii="Arial" w:eastAsia="Arial" w:hAnsi="Arial" w:cs="Arial"/>
                <w:i/>
                <w:szCs w:val="24"/>
              </w:rPr>
              <w:t>)</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6,46±1,42</w:t>
            </w:r>
          </w:p>
        </w:tc>
        <w:tc>
          <w:tcPr>
            <w:tcW w:w="1559"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7,75±1,56</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w:t>
            </w:r>
          </w:p>
        </w:tc>
        <w:tc>
          <w:tcPr>
            <w:tcW w:w="127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0,644</w:t>
            </w:r>
          </w:p>
        </w:tc>
      </w:tr>
      <w:tr w:rsidR="00F254D6" w:rsidRPr="00972BE7" w:rsidTr="00972BE7">
        <w:tc>
          <w:tcPr>
            <w:tcW w:w="283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i/>
                <w:szCs w:val="24"/>
              </w:rPr>
              <w:t>Sm medial (cm/</w:t>
            </w:r>
            <w:proofErr w:type="spellStart"/>
            <w:r w:rsidRPr="00972BE7">
              <w:rPr>
                <w:rFonts w:ascii="Arial" w:eastAsia="Arial" w:hAnsi="Arial" w:cs="Arial"/>
                <w:i/>
                <w:szCs w:val="24"/>
              </w:rPr>
              <w:t>seg</w:t>
            </w:r>
            <w:proofErr w:type="spellEnd"/>
            <w:r w:rsidRPr="00972BE7">
              <w:rPr>
                <w:rFonts w:ascii="Arial" w:eastAsia="Arial" w:hAnsi="Arial" w:cs="Arial"/>
                <w:i/>
                <w:szCs w:val="24"/>
              </w:rPr>
              <w:t>)</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7,31±1,37</w:t>
            </w:r>
          </w:p>
        </w:tc>
        <w:tc>
          <w:tcPr>
            <w:tcW w:w="1559"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7,96±1,57</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w:t>
            </w:r>
          </w:p>
        </w:tc>
        <w:tc>
          <w:tcPr>
            <w:tcW w:w="127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0,492</w:t>
            </w:r>
          </w:p>
        </w:tc>
      </w:tr>
      <w:tr w:rsidR="00F254D6" w:rsidRPr="00972BE7" w:rsidTr="00972BE7">
        <w:tc>
          <w:tcPr>
            <w:tcW w:w="2836" w:type="dxa"/>
          </w:tcPr>
          <w:p w:rsidR="00F254D6" w:rsidRPr="00972BE7" w:rsidRDefault="00E01129" w:rsidP="00593074">
            <w:pPr>
              <w:spacing w:line="360" w:lineRule="auto"/>
              <w:jc w:val="both"/>
              <w:rPr>
                <w:rFonts w:ascii="Arial" w:eastAsia="Arial" w:hAnsi="Arial" w:cs="Arial"/>
                <w:szCs w:val="24"/>
              </w:rPr>
            </w:pPr>
            <w:proofErr w:type="spellStart"/>
            <w:r w:rsidRPr="00972BE7">
              <w:rPr>
                <w:rFonts w:ascii="Arial" w:eastAsia="Arial" w:hAnsi="Arial" w:cs="Arial"/>
                <w:i/>
                <w:szCs w:val="24"/>
              </w:rPr>
              <w:t>Strain</w:t>
            </w:r>
            <w:proofErr w:type="spellEnd"/>
            <w:r w:rsidRPr="00972BE7">
              <w:rPr>
                <w:rFonts w:ascii="Arial" w:eastAsia="Arial" w:hAnsi="Arial" w:cs="Arial"/>
                <w:i/>
                <w:szCs w:val="24"/>
              </w:rPr>
              <w:t xml:space="preserve"> basal (%)</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8,33±3,32</w:t>
            </w:r>
          </w:p>
        </w:tc>
        <w:tc>
          <w:tcPr>
            <w:tcW w:w="1559"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13,09±1,74</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w:t>
            </w:r>
          </w:p>
        </w:tc>
        <w:tc>
          <w:tcPr>
            <w:tcW w:w="127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0,0002*</w:t>
            </w:r>
          </w:p>
        </w:tc>
      </w:tr>
      <w:tr w:rsidR="00F254D6" w:rsidRPr="00972BE7" w:rsidTr="00972BE7">
        <w:trPr>
          <w:trHeight w:val="357"/>
        </w:trPr>
        <w:tc>
          <w:tcPr>
            <w:tcW w:w="2836" w:type="dxa"/>
          </w:tcPr>
          <w:p w:rsidR="00F254D6" w:rsidRPr="00972BE7" w:rsidRDefault="00E01129" w:rsidP="00593074">
            <w:pPr>
              <w:spacing w:line="360" w:lineRule="auto"/>
              <w:jc w:val="both"/>
              <w:rPr>
                <w:rFonts w:ascii="Arial" w:eastAsia="Arial" w:hAnsi="Arial" w:cs="Arial"/>
                <w:szCs w:val="24"/>
              </w:rPr>
            </w:pPr>
            <w:proofErr w:type="spellStart"/>
            <w:r w:rsidRPr="00972BE7">
              <w:rPr>
                <w:rFonts w:ascii="Arial" w:eastAsia="Arial" w:hAnsi="Arial" w:cs="Arial"/>
                <w:i/>
                <w:szCs w:val="24"/>
              </w:rPr>
              <w:t>Strain</w:t>
            </w:r>
            <w:proofErr w:type="spellEnd"/>
            <w:r w:rsidRPr="00972BE7">
              <w:rPr>
                <w:rFonts w:ascii="Arial" w:eastAsia="Arial" w:hAnsi="Arial" w:cs="Arial"/>
                <w:i/>
                <w:szCs w:val="24"/>
              </w:rPr>
              <w:t xml:space="preserve"> medial (%)</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10,31±1,50</w:t>
            </w:r>
          </w:p>
        </w:tc>
        <w:tc>
          <w:tcPr>
            <w:tcW w:w="1559"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18,60±2,09</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w:t>
            </w:r>
          </w:p>
        </w:tc>
        <w:tc>
          <w:tcPr>
            <w:tcW w:w="127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0,092</w:t>
            </w:r>
          </w:p>
        </w:tc>
      </w:tr>
      <w:tr w:rsidR="00F254D6" w:rsidRPr="00972BE7" w:rsidTr="00972BE7">
        <w:trPr>
          <w:trHeight w:val="206"/>
        </w:trPr>
        <w:tc>
          <w:tcPr>
            <w:tcW w:w="2836" w:type="dxa"/>
          </w:tcPr>
          <w:p w:rsidR="00F254D6" w:rsidRPr="00972BE7" w:rsidRDefault="00E01129" w:rsidP="00593074">
            <w:pPr>
              <w:spacing w:line="360" w:lineRule="auto"/>
              <w:jc w:val="both"/>
              <w:rPr>
                <w:rFonts w:ascii="Arial" w:eastAsia="Arial" w:hAnsi="Arial" w:cs="Arial"/>
                <w:szCs w:val="24"/>
              </w:rPr>
            </w:pPr>
            <w:proofErr w:type="spellStart"/>
            <w:r w:rsidRPr="00972BE7">
              <w:rPr>
                <w:rFonts w:ascii="Arial" w:eastAsia="Arial" w:hAnsi="Arial" w:cs="Arial"/>
                <w:i/>
                <w:szCs w:val="24"/>
              </w:rPr>
              <w:t>Strain</w:t>
            </w:r>
            <w:proofErr w:type="spellEnd"/>
            <w:r w:rsidRPr="00972BE7">
              <w:rPr>
                <w:rFonts w:ascii="Arial" w:eastAsia="Arial" w:hAnsi="Arial" w:cs="Arial"/>
                <w:i/>
                <w:szCs w:val="24"/>
              </w:rPr>
              <w:t xml:space="preserve"> </w:t>
            </w:r>
            <w:proofErr w:type="spellStart"/>
            <w:r w:rsidRPr="00972BE7">
              <w:rPr>
                <w:rFonts w:ascii="Arial" w:eastAsia="Arial" w:hAnsi="Arial" w:cs="Arial"/>
                <w:i/>
                <w:szCs w:val="24"/>
              </w:rPr>
              <w:t>rate</w:t>
            </w:r>
            <w:proofErr w:type="spellEnd"/>
            <w:r w:rsidRPr="00972BE7">
              <w:rPr>
                <w:rFonts w:ascii="Arial" w:eastAsia="Arial" w:hAnsi="Arial" w:cs="Arial"/>
                <w:i/>
                <w:szCs w:val="24"/>
              </w:rPr>
              <w:t xml:space="preserve"> basal (S-1)</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1,05±0,35</w:t>
            </w:r>
          </w:p>
        </w:tc>
        <w:tc>
          <w:tcPr>
            <w:tcW w:w="1559"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1,43±0,16</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w:t>
            </w:r>
          </w:p>
        </w:tc>
        <w:tc>
          <w:tcPr>
            <w:tcW w:w="1276" w:type="dxa"/>
          </w:tcPr>
          <w:p w:rsidR="00F254D6" w:rsidRPr="00972BE7" w:rsidRDefault="00E01129" w:rsidP="00593074">
            <w:pPr>
              <w:spacing w:line="360" w:lineRule="auto"/>
              <w:jc w:val="both"/>
              <w:rPr>
                <w:rFonts w:ascii="Arial" w:eastAsia="Arial" w:hAnsi="Arial" w:cs="Arial"/>
                <w:szCs w:val="24"/>
              </w:rPr>
            </w:pPr>
            <w:r w:rsidRPr="00972BE7">
              <w:rPr>
                <w:szCs w:val="24"/>
              </w:rPr>
              <w:t>&lt;</w:t>
            </w:r>
            <w:r w:rsidRPr="00972BE7">
              <w:rPr>
                <w:rFonts w:ascii="Arial" w:eastAsia="Arial" w:hAnsi="Arial" w:cs="Arial"/>
                <w:szCs w:val="24"/>
              </w:rPr>
              <w:t>0,0001*</w:t>
            </w:r>
          </w:p>
        </w:tc>
      </w:tr>
      <w:tr w:rsidR="00F254D6" w:rsidRPr="00972BE7" w:rsidTr="00972BE7">
        <w:trPr>
          <w:trHeight w:val="334"/>
        </w:trPr>
        <w:tc>
          <w:tcPr>
            <w:tcW w:w="2836" w:type="dxa"/>
          </w:tcPr>
          <w:p w:rsidR="00F254D6" w:rsidRPr="00972BE7" w:rsidRDefault="00E01129" w:rsidP="00593074">
            <w:pPr>
              <w:spacing w:line="360" w:lineRule="auto"/>
              <w:jc w:val="both"/>
              <w:rPr>
                <w:rFonts w:ascii="Arial" w:eastAsia="Arial" w:hAnsi="Arial" w:cs="Arial"/>
                <w:szCs w:val="24"/>
              </w:rPr>
            </w:pPr>
            <w:proofErr w:type="spellStart"/>
            <w:r w:rsidRPr="00972BE7">
              <w:rPr>
                <w:rFonts w:ascii="Arial" w:eastAsia="Arial" w:hAnsi="Arial" w:cs="Arial"/>
                <w:i/>
                <w:szCs w:val="24"/>
              </w:rPr>
              <w:t>Strain</w:t>
            </w:r>
            <w:proofErr w:type="spellEnd"/>
            <w:r w:rsidRPr="00972BE7">
              <w:rPr>
                <w:rFonts w:ascii="Arial" w:eastAsia="Arial" w:hAnsi="Arial" w:cs="Arial"/>
                <w:i/>
                <w:szCs w:val="24"/>
              </w:rPr>
              <w:t xml:space="preserve"> </w:t>
            </w:r>
            <w:proofErr w:type="spellStart"/>
            <w:r w:rsidRPr="00972BE7">
              <w:rPr>
                <w:rFonts w:ascii="Arial" w:eastAsia="Arial" w:hAnsi="Arial" w:cs="Arial"/>
                <w:i/>
                <w:szCs w:val="24"/>
              </w:rPr>
              <w:t>rate</w:t>
            </w:r>
            <w:proofErr w:type="spellEnd"/>
            <w:r w:rsidRPr="00972BE7">
              <w:rPr>
                <w:rFonts w:ascii="Arial" w:eastAsia="Arial" w:hAnsi="Arial" w:cs="Arial"/>
                <w:i/>
                <w:szCs w:val="24"/>
              </w:rPr>
              <w:t xml:space="preserve"> medial (S-1)</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0,81±0,15</w:t>
            </w:r>
          </w:p>
        </w:tc>
        <w:tc>
          <w:tcPr>
            <w:tcW w:w="1559"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1,50±0,20</w:t>
            </w:r>
          </w:p>
        </w:tc>
        <w:tc>
          <w:tcPr>
            <w:tcW w:w="170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w:t>
            </w:r>
          </w:p>
        </w:tc>
        <w:tc>
          <w:tcPr>
            <w:tcW w:w="127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0,142</w:t>
            </w:r>
          </w:p>
        </w:tc>
      </w:tr>
    </w:tbl>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 xml:space="preserve">* Asociación significativa en el análisis </w:t>
      </w:r>
      <w:proofErr w:type="spellStart"/>
      <w:r>
        <w:rPr>
          <w:rFonts w:ascii="Arial" w:eastAsia="Arial" w:hAnsi="Arial" w:cs="Arial"/>
          <w:sz w:val="24"/>
          <w:szCs w:val="24"/>
        </w:rPr>
        <w:t>univariado</w:t>
      </w:r>
      <w:proofErr w:type="spellEnd"/>
      <w:r>
        <w:rPr>
          <w:rFonts w:ascii="Arial" w:eastAsia="Arial" w:hAnsi="Arial" w:cs="Arial"/>
          <w:sz w:val="24"/>
          <w:szCs w:val="24"/>
        </w:rPr>
        <w:t xml:space="preserve">. </w:t>
      </w:r>
    </w:p>
    <w:p w:rsidR="00F254D6" w:rsidRDefault="00E01129" w:rsidP="00593074">
      <w:pPr>
        <w:spacing w:after="0" w:line="360" w:lineRule="auto"/>
        <w:jc w:val="both"/>
        <w:rPr>
          <w:rFonts w:ascii="Arial" w:eastAsia="Arial" w:hAnsi="Arial" w:cs="Arial"/>
          <w:sz w:val="28"/>
          <w:szCs w:val="28"/>
        </w:rPr>
      </w:pPr>
      <w:r>
        <w:rPr>
          <w:rFonts w:ascii="Arial" w:eastAsia="Arial" w:hAnsi="Arial" w:cs="Arial"/>
          <w:sz w:val="24"/>
          <w:szCs w:val="24"/>
        </w:rPr>
        <w:t xml:space="preserve">El </w:t>
      </w:r>
      <w:proofErr w:type="spellStart"/>
      <w:r>
        <w:rPr>
          <w:rFonts w:ascii="Arial" w:eastAsia="Arial" w:hAnsi="Arial" w:cs="Arial"/>
          <w:sz w:val="24"/>
          <w:szCs w:val="24"/>
        </w:rPr>
        <w:t>strain</w:t>
      </w:r>
      <w:proofErr w:type="spellEnd"/>
      <w:r>
        <w:rPr>
          <w:rFonts w:ascii="Arial" w:eastAsia="Arial" w:hAnsi="Arial" w:cs="Arial"/>
          <w:sz w:val="24"/>
          <w:szCs w:val="24"/>
        </w:rPr>
        <w:t xml:space="preserve"> y </w:t>
      </w:r>
      <w:proofErr w:type="spellStart"/>
      <w:r>
        <w:rPr>
          <w:rFonts w:ascii="Arial" w:eastAsia="Arial" w:hAnsi="Arial" w:cs="Arial"/>
          <w:sz w:val="24"/>
          <w:szCs w:val="24"/>
        </w:rPr>
        <w:t>strain</w:t>
      </w:r>
      <w:proofErr w:type="spellEnd"/>
      <w:r>
        <w:rPr>
          <w:rFonts w:ascii="Arial" w:eastAsia="Arial" w:hAnsi="Arial" w:cs="Arial"/>
          <w:sz w:val="24"/>
          <w:szCs w:val="24"/>
        </w:rPr>
        <w:t xml:space="preserve"> </w:t>
      </w:r>
      <w:proofErr w:type="spellStart"/>
      <w:r>
        <w:rPr>
          <w:rFonts w:ascii="Arial" w:eastAsia="Arial" w:hAnsi="Arial" w:cs="Arial"/>
          <w:sz w:val="24"/>
          <w:szCs w:val="24"/>
        </w:rPr>
        <w:t>rate</w:t>
      </w:r>
      <w:proofErr w:type="spellEnd"/>
      <w:r>
        <w:rPr>
          <w:rFonts w:ascii="Arial" w:eastAsia="Arial" w:hAnsi="Arial" w:cs="Arial"/>
          <w:sz w:val="24"/>
          <w:szCs w:val="24"/>
        </w:rPr>
        <w:t xml:space="preserve"> del septum basal fueron significativamente menores en el grupo de pacientes con disminución de la FEVI en el seguimiento a mediano plazo. Igualmente, se encontraron diferencias evidentes en el </w:t>
      </w:r>
      <w:proofErr w:type="spellStart"/>
      <w:r>
        <w:rPr>
          <w:rFonts w:ascii="Arial" w:eastAsia="Arial" w:hAnsi="Arial" w:cs="Arial"/>
          <w:i/>
          <w:sz w:val="24"/>
          <w:szCs w:val="24"/>
        </w:rPr>
        <w:t>strain</w:t>
      </w:r>
      <w:proofErr w:type="spellEnd"/>
      <w:r>
        <w:rPr>
          <w:rFonts w:ascii="Arial" w:eastAsia="Arial" w:hAnsi="Arial" w:cs="Arial"/>
          <w:i/>
          <w:sz w:val="24"/>
          <w:szCs w:val="24"/>
        </w:rPr>
        <w:t xml:space="preserve"> y </w:t>
      </w:r>
      <w:proofErr w:type="spellStart"/>
      <w:r>
        <w:rPr>
          <w:rFonts w:ascii="Arial" w:eastAsia="Arial" w:hAnsi="Arial" w:cs="Arial"/>
          <w:i/>
          <w:sz w:val="24"/>
          <w:szCs w:val="24"/>
        </w:rPr>
        <w:t>strainrate</w:t>
      </w:r>
      <w:proofErr w:type="spellEnd"/>
      <w:r>
        <w:rPr>
          <w:rFonts w:ascii="Arial" w:eastAsia="Arial" w:hAnsi="Arial" w:cs="Arial"/>
          <w:sz w:val="24"/>
          <w:szCs w:val="24"/>
        </w:rPr>
        <w:t xml:space="preserve"> a nivel del septum en su segmento medio, aunque las diferencias no alcanzaron a ser significativas. Por otro lado, los valores de Sm basal y medial fueron menores en los pacientes que presentaron disfunción ventricular postoperatoria, aunque esas diferencias no fueron significativas (Tabla </w:t>
      </w:r>
      <w:r w:rsidR="00972BE7">
        <w:rPr>
          <w:rFonts w:ascii="Arial" w:eastAsia="Arial" w:hAnsi="Arial" w:cs="Arial"/>
          <w:sz w:val="24"/>
          <w:szCs w:val="24"/>
        </w:rPr>
        <w:t>3</w:t>
      </w:r>
      <w:r>
        <w:rPr>
          <w:rFonts w:ascii="Arial" w:eastAsia="Arial" w:hAnsi="Arial" w:cs="Arial"/>
          <w:sz w:val="24"/>
          <w:szCs w:val="24"/>
        </w:rPr>
        <w:t xml:space="preserve">). </w:t>
      </w:r>
    </w:p>
    <w:p w:rsidR="00F254D6" w:rsidRDefault="00F254D6" w:rsidP="00593074">
      <w:pPr>
        <w:spacing w:after="0" w:line="360" w:lineRule="auto"/>
        <w:jc w:val="both"/>
        <w:rPr>
          <w:rFonts w:ascii="Arial" w:eastAsia="Arial" w:hAnsi="Arial" w:cs="Arial"/>
          <w:sz w:val="24"/>
          <w:szCs w:val="24"/>
        </w:rPr>
      </w:pP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Tabla </w:t>
      </w:r>
      <w:r w:rsidR="00972BE7">
        <w:rPr>
          <w:rFonts w:ascii="Arial" w:eastAsia="Arial" w:hAnsi="Arial" w:cs="Arial"/>
          <w:sz w:val="24"/>
          <w:szCs w:val="24"/>
        </w:rPr>
        <w:t>4</w:t>
      </w:r>
      <w:r>
        <w:rPr>
          <w:rFonts w:ascii="Arial" w:eastAsia="Arial" w:hAnsi="Arial" w:cs="Arial"/>
          <w:sz w:val="24"/>
          <w:szCs w:val="24"/>
        </w:rPr>
        <w:t xml:space="preserve">. Análisis de regresión logística múltiple de las variables incluidas en el estudio, para predecir disfunción ventricular postoperatoria a mediano plazo. </w:t>
      </w:r>
    </w:p>
    <w:tbl>
      <w:tblPr>
        <w:tblStyle w:val="Tablaconcuadrcula"/>
        <w:tblW w:w="7568" w:type="dxa"/>
        <w:tblLayout w:type="fixed"/>
        <w:tblLook w:val="0000" w:firstRow="0" w:lastRow="0" w:firstColumn="0" w:lastColumn="0" w:noHBand="0" w:noVBand="0"/>
      </w:tblPr>
      <w:tblGrid>
        <w:gridCol w:w="2881"/>
        <w:gridCol w:w="2881"/>
        <w:gridCol w:w="1806"/>
      </w:tblGrid>
      <w:tr w:rsidR="00F254D6" w:rsidRPr="00972BE7" w:rsidTr="00972BE7">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Variables</w:t>
            </w:r>
          </w:p>
        </w:tc>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OR (IC del 95%)</w:t>
            </w:r>
          </w:p>
        </w:tc>
        <w:tc>
          <w:tcPr>
            <w:tcW w:w="180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szCs w:val="24"/>
              </w:rPr>
              <w:t>p</w:t>
            </w:r>
          </w:p>
        </w:tc>
      </w:tr>
      <w:tr w:rsidR="00F254D6" w:rsidRPr="00972BE7" w:rsidTr="00972BE7">
        <w:trPr>
          <w:trHeight w:val="149"/>
        </w:trPr>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i/>
                <w:szCs w:val="24"/>
              </w:rPr>
              <w:t>FEVI (%)</w:t>
            </w:r>
          </w:p>
        </w:tc>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2,33 (-6,58-17,70)</w:t>
            </w:r>
          </w:p>
        </w:tc>
        <w:tc>
          <w:tcPr>
            <w:tcW w:w="180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0,221</w:t>
            </w:r>
          </w:p>
        </w:tc>
      </w:tr>
      <w:tr w:rsidR="00F254D6" w:rsidRPr="00972BE7" w:rsidTr="00972BE7">
        <w:trPr>
          <w:trHeight w:val="253"/>
        </w:trPr>
        <w:tc>
          <w:tcPr>
            <w:tcW w:w="2881" w:type="dxa"/>
          </w:tcPr>
          <w:p w:rsidR="00F254D6" w:rsidRPr="00972BE7" w:rsidRDefault="00E01129" w:rsidP="00593074">
            <w:pPr>
              <w:spacing w:line="360" w:lineRule="auto"/>
              <w:jc w:val="both"/>
              <w:rPr>
                <w:rFonts w:ascii="Arial" w:eastAsia="Arial" w:hAnsi="Arial" w:cs="Arial"/>
                <w:szCs w:val="24"/>
              </w:rPr>
            </w:pPr>
            <w:proofErr w:type="spellStart"/>
            <w:r w:rsidRPr="00972BE7">
              <w:rPr>
                <w:rFonts w:ascii="Arial" w:eastAsia="Arial" w:hAnsi="Arial" w:cs="Arial"/>
                <w:i/>
                <w:szCs w:val="24"/>
              </w:rPr>
              <w:t>DtdVI</w:t>
            </w:r>
            <w:proofErr w:type="spellEnd"/>
            <w:r w:rsidRPr="00972BE7">
              <w:rPr>
                <w:rFonts w:ascii="Arial" w:eastAsia="Arial" w:hAnsi="Arial" w:cs="Arial"/>
                <w:i/>
                <w:szCs w:val="24"/>
              </w:rPr>
              <w:t xml:space="preserve"> (mm)</w:t>
            </w:r>
          </w:p>
        </w:tc>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3,29 (0,93-6,55)</w:t>
            </w:r>
          </w:p>
        </w:tc>
        <w:tc>
          <w:tcPr>
            <w:tcW w:w="180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0,127</w:t>
            </w:r>
          </w:p>
        </w:tc>
      </w:tr>
      <w:tr w:rsidR="00F254D6" w:rsidRPr="00972BE7" w:rsidTr="00972BE7">
        <w:trPr>
          <w:trHeight w:val="288"/>
        </w:trPr>
        <w:tc>
          <w:tcPr>
            <w:tcW w:w="2881" w:type="dxa"/>
          </w:tcPr>
          <w:p w:rsidR="00F254D6" w:rsidRPr="00972BE7" w:rsidRDefault="00E01129" w:rsidP="00593074">
            <w:pPr>
              <w:spacing w:line="360" w:lineRule="auto"/>
              <w:jc w:val="both"/>
              <w:rPr>
                <w:rFonts w:ascii="Arial" w:eastAsia="Arial" w:hAnsi="Arial" w:cs="Arial"/>
                <w:szCs w:val="24"/>
              </w:rPr>
            </w:pPr>
            <w:proofErr w:type="spellStart"/>
            <w:r w:rsidRPr="00972BE7">
              <w:rPr>
                <w:rFonts w:ascii="Arial" w:eastAsia="Arial" w:hAnsi="Arial" w:cs="Arial"/>
                <w:i/>
                <w:szCs w:val="24"/>
              </w:rPr>
              <w:t>DtsVI</w:t>
            </w:r>
            <w:proofErr w:type="spellEnd"/>
            <w:r w:rsidRPr="00972BE7">
              <w:rPr>
                <w:rFonts w:ascii="Arial" w:eastAsia="Arial" w:hAnsi="Arial" w:cs="Arial"/>
                <w:i/>
                <w:szCs w:val="24"/>
              </w:rPr>
              <w:t xml:space="preserve"> (mm)</w:t>
            </w:r>
          </w:p>
        </w:tc>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3,82 (1,17-7,56)</w:t>
            </w:r>
          </w:p>
        </w:tc>
        <w:tc>
          <w:tcPr>
            <w:tcW w:w="180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0,043*</w:t>
            </w:r>
          </w:p>
        </w:tc>
      </w:tr>
      <w:tr w:rsidR="00F254D6" w:rsidRPr="00972BE7" w:rsidTr="00972BE7">
        <w:trPr>
          <w:trHeight w:val="56"/>
        </w:trPr>
        <w:tc>
          <w:tcPr>
            <w:tcW w:w="2881" w:type="dxa"/>
          </w:tcPr>
          <w:p w:rsidR="00F254D6" w:rsidRPr="00972BE7" w:rsidRDefault="00E01129" w:rsidP="00593074">
            <w:pPr>
              <w:spacing w:line="360" w:lineRule="auto"/>
              <w:jc w:val="both"/>
              <w:rPr>
                <w:rFonts w:ascii="Arial" w:eastAsia="Arial" w:hAnsi="Arial" w:cs="Arial"/>
                <w:szCs w:val="24"/>
              </w:rPr>
            </w:pPr>
            <w:proofErr w:type="spellStart"/>
            <w:r w:rsidRPr="00972BE7">
              <w:rPr>
                <w:rFonts w:ascii="Arial" w:eastAsia="Arial" w:hAnsi="Arial" w:cs="Arial"/>
                <w:i/>
                <w:szCs w:val="24"/>
              </w:rPr>
              <w:t>VtdVI</w:t>
            </w:r>
            <w:proofErr w:type="spellEnd"/>
            <w:r w:rsidRPr="00972BE7">
              <w:rPr>
                <w:rFonts w:ascii="Arial" w:eastAsia="Arial" w:hAnsi="Arial" w:cs="Arial"/>
                <w:i/>
                <w:szCs w:val="24"/>
              </w:rPr>
              <w:t xml:space="preserve"> (ml)</w:t>
            </w:r>
          </w:p>
        </w:tc>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0,13 (–0,055-0,39)</w:t>
            </w:r>
          </w:p>
        </w:tc>
        <w:tc>
          <w:tcPr>
            <w:tcW w:w="180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0,193</w:t>
            </w:r>
          </w:p>
        </w:tc>
      </w:tr>
      <w:tr w:rsidR="00F254D6" w:rsidRPr="00972BE7" w:rsidTr="00972BE7">
        <w:trPr>
          <w:trHeight w:val="357"/>
        </w:trPr>
        <w:tc>
          <w:tcPr>
            <w:tcW w:w="2881" w:type="dxa"/>
          </w:tcPr>
          <w:p w:rsidR="00F254D6" w:rsidRPr="00972BE7" w:rsidRDefault="00E01129" w:rsidP="00593074">
            <w:pPr>
              <w:spacing w:line="360" w:lineRule="auto"/>
              <w:jc w:val="both"/>
              <w:rPr>
                <w:rFonts w:ascii="Arial" w:eastAsia="Arial" w:hAnsi="Arial" w:cs="Arial"/>
                <w:szCs w:val="24"/>
              </w:rPr>
            </w:pPr>
            <w:proofErr w:type="spellStart"/>
            <w:r w:rsidRPr="00972BE7">
              <w:rPr>
                <w:rFonts w:ascii="Arial" w:eastAsia="Arial" w:hAnsi="Arial" w:cs="Arial"/>
                <w:i/>
                <w:szCs w:val="24"/>
              </w:rPr>
              <w:t>VtsVI</w:t>
            </w:r>
            <w:proofErr w:type="spellEnd"/>
            <w:r w:rsidRPr="00972BE7">
              <w:rPr>
                <w:rFonts w:ascii="Arial" w:eastAsia="Arial" w:hAnsi="Arial" w:cs="Arial"/>
                <w:i/>
                <w:szCs w:val="24"/>
              </w:rPr>
              <w:t xml:space="preserve"> (ml)</w:t>
            </w:r>
          </w:p>
        </w:tc>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19,34 (–3,21-13,27)</w:t>
            </w:r>
          </w:p>
        </w:tc>
        <w:tc>
          <w:tcPr>
            <w:tcW w:w="180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0,089</w:t>
            </w:r>
          </w:p>
        </w:tc>
      </w:tr>
      <w:tr w:rsidR="00F254D6" w:rsidRPr="00972BE7" w:rsidTr="00972BE7">
        <w:trPr>
          <w:trHeight w:val="253"/>
        </w:trPr>
        <w:tc>
          <w:tcPr>
            <w:tcW w:w="2881" w:type="dxa"/>
          </w:tcPr>
          <w:p w:rsidR="00F254D6" w:rsidRPr="00972BE7" w:rsidRDefault="00E01129" w:rsidP="00593074">
            <w:pPr>
              <w:spacing w:line="360" w:lineRule="auto"/>
              <w:jc w:val="both"/>
              <w:rPr>
                <w:rFonts w:ascii="Arial" w:eastAsia="Arial" w:hAnsi="Arial" w:cs="Arial"/>
                <w:szCs w:val="24"/>
                <w:lang w:val="en-US"/>
              </w:rPr>
            </w:pPr>
            <w:proofErr w:type="spellStart"/>
            <w:r w:rsidRPr="00972BE7">
              <w:rPr>
                <w:rFonts w:ascii="Arial" w:eastAsia="Arial" w:hAnsi="Arial" w:cs="Arial"/>
                <w:i/>
                <w:szCs w:val="24"/>
                <w:lang w:val="en-US"/>
              </w:rPr>
              <w:t>Dp</w:t>
            </w:r>
            <w:proofErr w:type="spellEnd"/>
            <w:r w:rsidRPr="00972BE7">
              <w:rPr>
                <w:rFonts w:ascii="Arial" w:eastAsia="Arial" w:hAnsi="Arial" w:cs="Arial"/>
                <w:i/>
                <w:szCs w:val="24"/>
                <w:lang w:val="en-US"/>
              </w:rPr>
              <w:t>/Dt VI (mmHg/seg</w:t>
            </w:r>
            <w:r w:rsidRPr="00972BE7">
              <w:rPr>
                <w:rFonts w:ascii="Arial" w:eastAsia="Arial" w:hAnsi="Arial" w:cs="Arial"/>
                <w:i/>
                <w:szCs w:val="24"/>
                <w:vertAlign w:val="superscript"/>
                <w:lang w:val="en-US"/>
              </w:rPr>
              <w:t>2</w:t>
            </w:r>
            <w:r w:rsidRPr="00972BE7">
              <w:rPr>
                <w:rFonts w:ascii="Arial" w:eastAsia="Arial" w:hAnsi="Arial" w:cs="Arial"/>
                <w:i/>
                <w:szCs w:val="24"/>
                <w:lang w:val="en-US"/>
              </w:rPr>
              <w:t>)</w:t>
            </w:r>
          </w:p>
        </w:tc>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27,5 (–59,6-44,65)</w:t>
            </w:r>
          </w:p>
        </w:tc>
        <w:tc>
          <w:tcPr>
            <w:tcW w:w="180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0,057</w:t>
            </w:r>
          </w:p>
        </w:tc>
      </w:tr>
      <w:tr w:rsidR="00F254D6" w:rsidRPr="00972BE7" w:rsidTr="00972BE7">
        <w:trPr>
          <w:trHeight w:val="357"/>
        </w:trPr>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i/>
                <w:szCs w:val="24"/>
              </w:rPr>
              <w:t>Volumen de AI (ml)</w:t>
            </w:r>
          </w:p>
        </w:tc>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–0,27 (–5,49-6,88)</w:t>
            </w:r>
          </w:p>
        </w:tc>
        <w:tc>
          <w:tcPr>
            <w:tcW w:w="180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0,787</w:t>
            </w:r>
          </w:p>
        </w:tc>
      </w:tr>
      <w:tr w:rsidR="00F254D6" w:rsidRPr="00972BE7" w:rsidTr="00972BE7">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i/>
                <w:szCs w:val="24"/>
              </w:rPr>
              <w:t>PS pulmonar (</w:t>
            </w:r>
            <w:proofErr w:type="spellStart"/>
            <w:r w:rsidRPr="00972BE7">
              <w:rPr>
                <w:rFonts w:ascii="Arial" w:eastAsia="Arial" w:hAnsi="Arial" w:cs="Arial"/>
                <w:i/>
                <w:szCs w:val="24"/>
              </w:rPr>
              <w:t>mmHg</w:t>
            </w:r>
            <w:proofErr w:type="spellEnd"/>
            <w:r w:rsidRPr="00972BE7">
              <w:rPr>
                <w:rFonts w:ascii="Arial" w:eastAsia="Arial" w:hAnsi="Arial" w:cs="Arial"/>
                <w:i/>
                <w:szCs w:val="24"/>
              </w:rPr>
              <w:t>)</w:t>
            </w:r>
          </w:p>
        </w:tc>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–0,38 (–7,66-6,23)</w:t>
            </w:r>
          </w:p>
        </w:tc>
        <w:tc>
          <w:tcPr>
            <w:tcW w:w="180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0,535</w:t>
            </w:r>
          </w:p>
        </w:tc>
      </w:tr>
      <w:tr w:rsidR="00F254D6" w:rsidRPr="00972BE7" w:rsidTr="00972BE7">
        <w:trPr>
          <w:trHeight w:val="183"/>
        </w:trPr>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i/>
                <w:szCs w:val="24"/>
              </w:rPr>
              <w:t>Sm basal (cm/</w:t>
            </w:r>
            <w:proofErr w:type="spellStart"/>
            <w:r w:rsidRPr="00972BE7">
              <w:rPr>
                <w:rFonts w:ascii="Arial" w:eastAsia="Arial" w:hAnsi="Arial" w:cs="Arial"/>
                <w:i/>
                <w:szCs w:val="24"/>
              </w:rPr>
              <w:t>seg</w:t>
            </w:r>
            <w:proofErr w:type="spellEnd"/>
            <w:r w:rsidRPr="00972BE7">
              <w:rPr>
                <w:rFonts w:ascii="Arial" w:eastAsia="Arial" w:hAnsi="Arial" w:cs="Arial"/>
                <w:i/>
                <w:szCs w:val="24"/>
              </w:rPr>
              <w:t>)</w:t>
            </w:r>
          </w:p>
        </w:tc>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0,027 (0,005-0,05)</w:t>
            </w:r>
          </w:p>
        </w:tc>
        <w:tc>
          <w:tcPr>
            <w:tcW w:w="180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0,293</w:t>
            </w:r>
          </w:p>
        </w:tc>
      </w:tr>
      <w:tr w:rsidR="00F254D6" w:rsidRPr="00972BE7" w:rsidTr="00972BE7">
        <w:trPr>
          <w:trHeight w:val="357"/>
        </w:trPr>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i/>
                <w:szCs w:val="24"/>
              </w:rPr>
              <w:t>Sm medial (cm/</w:t>
            </w:r>
            <w:proofErr w:type="spellStart"/>
            <w:r w:rsidRPr="00972BE7">
              <w:rPr>
                <w:rFonts w:ascii="Arial" w:eastAsia="Arial" w:hAnsi="Arial" w:cs="Arial"/>
                <w:i/>
                <w:szCs w:val="24"/>
              </w:rPr>
              <w:t>seg</w:t>
            </w:r>
            <w:proofErr w:type="spellEnd"/>
            <w:r w:rsidRPr="00972BE7">
              <w:rPr>
                <w:rFonts w:ascii="Arial" w:eastAsia="Arial" w:hAnsi="Arial" w:cs="Arial"/>
                <w:i/>
                <w:szCs w:val="24"/>
              </w:rPr>
              <w:t>)</w:t>
            </w:r>
          </w:p>
        </w:tc>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3,83 (–22,4-33,17)</w:t>
            </w:r>
          </w:p>
        </w:tc>
        <w:tc>
          <w:tcPr>
            <w:tcW w:w="180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0,388</w:t>
            </w:r>
          </w:p>
        </w:tc>
      </w:tr>
      <w:tr w:rsidR="00F254D6" w:rsidRPr="00972BE7" w:rsidTr="00972BE7">
        <w:trPr>
          <w:trHeight w:val="179"/>
        </w:trPr>
        <w:tc>
          <w:tcPr>
            <w:tcW w:w="2881" w:type="dxa"/>
          </w:tcPr>
          <w:p w:rsidR="00F254D6" w:rsidRPr="00972BE7" w:rsidRDefault="00E01129" w:rsidP="00593074">
            <w:pPr>
              <w:spacing w:line="360" w:lineRule="auto"/>
              <w:jc w:val="both"/>
              <w:rPr>
                <w:rFonts w:ascii="Arial" w:eastAsia="Arial" w:hAnsi="Arial" w:cs="Arial"/>
                <w:szCs w:val="24"/>
              </w:rPr>
            </w:pPr>
            <w:proofErr w:type="spellStart"/>
            <w:r w:rsidRPr="00972BE7">
              <w:rPr>
                <w:rFonts w:ascii="Arial" w:eastAsia="Arial" w:hAnsi="Arial" w:cs="Arial"/>
                <w:i/>
                <w:szCs w:val="24"/>
              </w:rPr>
              <w:t>Strain</w:t>
            </w:r>
            <w:proofErr w:type="spellEnd"/>
            <w:r w:rsidRPr="00972BE7">
              <w:rPr>
                <w:rFonts w:ascii="Arial" w:eastAsia="Arial" w:hAnsi="Arial" w:cs="Arial"/>
                <w:i/>
                <w:szCs w:val="24"/>
              </w:rPr>
              <w:t xml:space="preserve"> basal (%)</w:t>
            </w:r>
          </w:p>
        </w:tc>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0,059 (0,023-0,089)</w:t>
            </w:r>
          </w:p>
        </w:tc>
        <w:tc>
          <w:tcPr>
            <w:tcW w:w="1806" w:type="dxa"/>
          </w:tcPr>
          <w:p w:rsidR="00F254D6" w:rsidRPr="00972BE7" w:rsidRDefault="00E01129" w:rsidP="00593074">
            <w:pPr>
              <w:spacing w:line="360" w:lineRule="auto"/>
              <w:jc w:val="both"/>
              <w:rPr>
                <w:rFonts w:ascii="Arial" w:eastAsia="Arial" w:hAnsi="Arial" w:cs="Arial"/>
                <w:szCs w:val="24"/>
              </w:rPr>
            </w:pPr>
            <w:r w:rsidRPr="00972BE7">
              <w:rPr>
                <w:b/>
                <w:szCs w:val="24"/>
              </w:rPr>
              <w:t>&lt;</w:t>
            </w:r>
            <w:r w:rsidRPr="00972BE7">
              <w:rPr>
                <w:rFonts w:ascii="Arial" w:eastAsia="Arial" w:hAnsi="Arial" w:cs="Arial"/>
                <w:b/>
                <w:szCs w:val="24"/>
              </w:rPr>
              <w:t>0,001*</w:t>
            </w:r>
          </w:p>
        </w:tc>
      </w:tr>
      <w:tr w:rsidR="00F254D6" w:rsidRPr="00972BE7" w:rsidTr="00972BE7">
        <w:trPr>
          <w:trHeight w:val="264"/>
        </w:trPr>
        <w:tc>
          <w:tcPr>
            <w:tcW w:w="2881" w:type="dxa"/>
          </w:tcPr>
          <w:p w:rsidR="00F254D6" w:rsidRPr="00972BE7" w:rsidRDefault="00E01129" w:rsidP="00593074">
            <w:pPr>
              <w:spacing w:line="360" w:lineRule="auto"/>
              <w:jc w:val="both"/>
              <w:rPr>
                <w:rFonts w:ascii="Arial" w:eastAsia="Arial" w:hAnsi="Arial" w:cs="Arial"/>
                <w:szCs w:val="24"/>
              </w:rPr>
            </w:pPr>
            <w:proofErr w:type="spellStart"/>
            <w:r w:rsidRPr="00972BE7">
              <w:rPr>
                <w:rFonts w:ascii="Arial" w:eastAsia="Arial" w:hAnsi="Arial" w:cs="Arial"/>
                <w:i/>
                <w:szCs w:val="24"/>
              </w:rPr>
              <w:t>Strain</w:t>
            </w:r>
            <w:proofErr w:type="spellEnd"/>
            <w:r w:rsidRPr="00972BE7">
              <w:rPr>
                <w:rFonts w:ascii="Arial" w:eastAsia="Arial" w:hAnsi="Arial" w:cs="Arial"/>
                <w:i/>
                <w:szCs w:val="24"/>
              </w:rPr>
              <w:t xml:space="preserve"> medial (%)</w:t>
            </w:r>
          </w:p>
        </w:tc>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0,042 (0,005-0,093)</w:t>
            </w:r>
          </w:p>
        </w:tc>
        <w:tc>
          <w:tcPr>
            <w:tcW w:w="180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0,099</w:t>
            </w:r>
          </w:p>
        </w:tc>
      </w:tr>
      <w:tr w:rsidR="00F254D6" w:rsidRPr="00972BE7" w:rsidTr="00972BE7">
        <w:trPr>
          <w:trHeight w:val="300"/>
        </w:trPr>
        <w:tc>
          <w:tcPr>
            <w:tcW w:w="2881" w:type="dxa"/>
          </w:tcPr>
          <w:p w:rsidR="00F254D6" w:rsidRPr="00972BE7" w:rsidRDefault="00E01129" w:rsidP="00593074">
            <w:pPr>
              <w:spacing w:line="360" w:lineRule="auto"/>
              <w:jc w:val="both"/>
              <w:rPr>
                <w:rFonts w:ascii="Arial" w:eastAsia="Arial" w:hAnsi="Arial" w:cs="Arial"/>
                <w:szCs w:val="24"/>
              </w:rPr>
            </w:pPr>
            <w:proofErr w:type="spellStart"/>
            <w:r w:rsidRPr="00972BE7">
              <w:rPr>
                <w:rFonts w:ascii="Arial" w:eastAsia="Arial" w:hAnsi="Arial" w:cs="Arial"/>
                <w:i/>
                <w:szCs w:val="24"/>
              </w:rPr>
              <w:t>Strain</w:t>
            </w:r>
            <w:proofErr w:type="spellEnd"/>
            <w:r w:rsidRPr="00972BE7">
              <w:rPr>
                <w:rFonts w:ascii="Arial" w:eastAsia="Arial" w:hAnsi="Arial" w:cs="Arial"/>
                <w:i/>
                <w:szCs w:val="24"/>
              </w:rPr>
              <w:t xml:space="preserve"> </w:t>
            </w:r>
            <w:proofErr w:type="spellStart"/>
            <w:r w:rsidRPr="00972BE7">
              <w:rPr>
                <w:rFonts w:ascii="Arial" w:eastAsia="Arial" w:hAnsi="Arial" w:cs="Arial"/>
                <w:i/>
                <w:szCs w:val="24"/>
              </w:rPr>
              <w:t>rate</w:t>
            </w:r>
            <w:proofErr w:type="spellEnd"/>
            <w:r w:rsidRPr="00972BE7">
              <w:rPr>
                <w:rFonts w:ascii="Arial" w:eastAsia="Arial" w:hAnsi="Arial" w:cs="Arial"/>
                <w:i/>
                <w:szCs w:val="24"/>
              </w:rPr>
              <w:t xml:space="preserve"> basal (S-1)</w:t>
            </w:r>
          </w:p>
        </w:tc>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0,058 (0,011-0,099)</w:t>
            </w:r>
          </w:p>
        </w:tc>
        <w:tc>
          <w:tcPr>
            <w:tcW w:w="180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0,007*</w:t>
            </w:r>
          </w:p>
        </w:tc>
      </w:tr>
      <w:tr w:rsidR="00F254D6" w:rsidRPr="00972BE7" w:rsidTr="00972BE7">
        <w:tc>
          <w:tcPr>
            <w:tcW w:w="2881" w:type="dxa"/>
          </w:tcPr>
          <w:p w:rsidR="00F254D6" w:rsidRPr="00972BE7" w:rsidRDefault="00E01129" w:rsidP="00593074">
            <w:pPr>
              <w:spacing w:line="360" w:lineRule="auto"/>
              <w:jc w:val="both"/>
              <w:rPr>
                <w:rFonts w:ascii="Arial" w:eastAsia="Arial" w:hAnsi="Arial" w:cs="Arial"/>
                <w:szCs w:val="24"/>
              </w:rPr>
            </w:pPr>
            <w:proofErr w:type="spellStart"/>
            <w:r w:rsidRPr="00972BE7">
              <w:rPr>
                <w:rFonts w:ascii="Arial" w:eastAsia="Arial" w:hAnsi="Arial" w:cs="Arial"/>
                <w:i/>
                <w:szCs w:val="24"/>
              </w:rPr>
              <w:t>Strain</w:t>
            </w:r>
            <w:proofErr w:type="spellEnd"/>
            <w:r w:rsidRPr="00972BE7">
              <w:rPr>
                <w:rFonts w:ascii="Arial" w:eastAsia="Arial" w:hAnsi="Arial" w:cs="Arial"/>
                <w:i/>
                <w:szCs w:val="24"/>
              </w:rPr>
              <w:t xml:space="preserve"> </w:t>
            </w:r>
            <w:proofErr w:type="spellStart"/>
            <w:r w:rsidRPr="00972BE7">
              <w:rPr>
                <w:rFonts w:ascii="Arial" w:eastAsia="Arial" w:hAnsi="Arial" w:cs="Arial"/>
                <w:i/>
                <w:szCs w:val="24"/>
              </w:rPr>
              <w:t>rate</w:t>
            </w:r>
            <w:proofErr w:type="spellEnd"/>
            <w:r w:rsidRPr="00972BE7">
              <w:rPr>
                <w:rFonts w:ascii="Arial" w:eastAsia="Arial" w:hAnsi="Arial" w:cs="Arial"/>
                <w:i/>
                <w:szCs w:val="24"/>
              </w:rPr>
              <w:t xml:space="preserve"> medial (S-1)</w:t>
            </w:r>
          </w:p>
        </w:tc>
        <w:tc>
          <w:tcPr>
            <w:tcW w:w="2881"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0,25 (0,011-0,989)</w:t>
            </w:r>
          </w:p>
        </w:tc>
        <w:tc>
          <w:tcPr>
            <w:tcW w:w="1806" w:type="dxa"/>
          </w:tcPr>
          <w:p w:rsidR="00F254D6" w:rsidRPr="00972BE7" w:rsidRDefault="00E01129" w:rsidP="00593074">
            <w:pPr>
              <w:spacing w:line="360" w:lineRule="auto"/>
              <w:jc w:val="both"/>
              <w:rPr>
                <w:rFonts w:ascii="Arial" w:eastAsia="Arial" w:hAnsi="Arial" w:cs="Arial"/>
                <w:szCs w:val="24"/>
              </w:rPr>
            </w:pPr>
            <w:r w:rsidRPr="00972BE7">
              <w:rPr>
                <w:rFonts w:ascii="Arial" w:eastAsia="Arial" w:hAnsi="Arial" w:cs="Arial"/>
                <w:b/>
                <w:szCs w:val="24"/>
              </w:rPr>
              <w:t>0,084</w:t>
            </w:r>
          </w:p>
        </w:tc>
      </w:tr>
    </w:tbl>
    <w:p w:rsidR="00F254D6" w:rsidRDefault="00F254D6" w:rsidP="00593074">
      <w:pPr>
        <w:spacing w:after="0" w:line="360" w:lineRule="auto"/>
        <w:jc w:val="both"/>
        <w:rPr>
          <w:rFonts w:ascii="Arial" w:eastAsia="Arial" w:hAnsi="Arial" w:cs="Arial"/>
          <w:sz w:val="28"/>
          <w:szCs w:val="28"/>
        </w:rPr>
      </w:pP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 xml:space="preserve">En el análisis de regresión logística múltiple, solamente el </w:t>
      </w:r>
      <w:proofErr w:type="spellStart"/>
      <w:r>
        <w:rPr>
          <w:rFonts w:ascii="Arial" w:eastAsia="Arial" w:hAnsi="Arial" w:cs="Arial"/>
          <w:i/>
          <w:sz w:val="24"/>
          <w:szCs w:val="24"/>
        </w:rPr>
        <w:t>strain</w:t>
      </w:r>
      <w:proofErr w:type="spellEnd"/>
      <w:r>
        <w:rPr>
          <w:rFonts w:ascii="Arial" w:eastAsia="Arial" w:hAnsi="Arial" w:cs="Arial"/>
          <w:sz w:val="24"/>
          <w:szCs w:val="24"/>
        </w:rPr>
        <w:t xml:space="preserve">, el </w:t>
      </w:r>
      <w:proofErr w:type="spellStart"/>
      <w:r>
        <w:rPr>
          <w:rFonts w:ascii="Arial" w:eastAsia="Arial" w:hAnsi="Arial" w:cs="Arial"/>
          <w:i/>
          <w:sz w:val="24"/>
          <w:szCs w:val="24"/>
        </w:rPr>
        <w:t>strain</w:t>
      </w:r>
      <w:proofErr w:type="spellEnd"/>
      <w:r>
        <w:rPr>
          <w:rFonts w:ascii="Arial" w:eastAsia="Arial" w:hAnsi="Arial" w:cs="Arial"/>
          <w:i/>
          <w:sz w:val="24"/>
          <w:szCs w:val="24"/>
        </w:rPr>
        <w:t xml:space="preserve"> </w:t>
      </w:r>
      <w:proofErr w:type="spellStart"/>
      <w:r>
        <w:rPr>
          <w:rFonts w:ascii="Arial" w:eastAsia="Arial" w:hAnsi="Arial" w:cs="Arial"/>
          <w:i/>
          <w:sz w:val="24"/>
          <w:szCs w:val="24"/>
        </w:rPr>
        <w:t>rate</w:t>
      </w:r>
      <w:proofErr w:type="spellEnd"/>
      <w:r>
        <w:rPr>
          <w:rFonts w:ascii="Arial" w:eastAsia="Arial" w:hAnsi="Arial" w:cs="Arial"/>
          <w:sz w:val="24"/>
          <w:szCs w:val="24"/>
        </w:rPr>
        <w:t xml:space="preserve"> basal y el </w:t>
      </w:r>
      <w:proofErr w:type="spellStart"/>
      <w:r>
        <w:rPr>
          <w:rFonts w:ascii="Arial" w:eastAsia="Arial" w:hAnsi="Arial" w:cs="Arial"/>
          <w:sz w:val="24"/>
          <w:szCs w:val="24"/>
        </w:rPr>
        <w:t>DtsVImostraron</w:t>
      </w:r>
      <w:proofErr w:type="spellEnd"/>
      <w:r>
        <w:rPr>
          <w:rFonts w:ascii="Arial" w:eastAsia="Arial" w:hAnsi="Arial" w:cs="Arial"/>
          <w:sz w:val="24"/>
          <w:szCs w:val="24"/>
        </w:rPr>
        <w:t xml:space="preserve"> una relación significativa e independiente con la presencia de disfunción ventricular postoperatoria a mediano plazo (Tabla </w:t>
      </w:r>
      <w:r w:rsidR="00972BE7">
        <w:rPr>
          <w:rFonts w:ascii="Arial" w:eastAsia="Arial" w:hAnsi="Arial" w:cs="Arial"/>
          <w:sz w:val="24"/>
          <w:szCs w:val="24"/>
        </w:rPr>
        <w:t>4</w:t>
      </w:r>
      <w:r>
        <w:rPr>
          <w:rFonts w:ascii="Arial" w:eastAsia="Arial" w:hAnsi="Arial" w:cs="Arial"/>
          <w:sz w:val="24"/>
          <w:szCs w:val="24"/>
        </w:rPr>
        <w:t>).</w:t>
      </w:r>
    </w:p>
    <w:p w:rsidR="00F254D6" w:rsidRDefault="00F254D6" w:rsidP="00593074">
      <w:pPr>
        <w:tabs>
          <w:tab w:val="left" w:pos="2604"/>
        </w:tabs>
        <w:spacing w:after="0" w:line="360" w:lineRule="auto"/>
        <w:jc w:val="both"/>
        <w:rPr>
          <w:rFonts w:ascii="Arial" w:eastAsia="Arial" w:hAnsi="Arial" w:cs="Arial"/>
          <w:sz w:val="28"/>
          <w:szCs w:val="28"/>
        </w:rPr>
      </w:pP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 xml:space="preserve">Tabla </w:t>
      </w:r>
      <w:r w:rsidR="00972BE7">
        <w:rPr>
          <w:rFonts w:ascii="Arial" w:eastAsia="Arial" w:hAnsi="Arial" w:cs="Arial"/>
          <w:sz w:val="24"/>
          <w:szCs w:val="24"/>
        </w:rPr>
        <w:t>5</w:t>
      </w:r>
      <w:r>
        <w:rPr>
          <w:rFonts w:ascii="Arial" w:eastAsia="Arial" w:hAnsi="Arial" w:cs="Arial"/>
          <w:sz w:val="24"/>
          <w:szCs w:val="24"/>
        </w:rPr>
        <w:t xml:space="preserve">. Validez diagnóstica de las diferentes variables para predecir la disminución de la FEVI postoperatoria. </w:t>
      </w:r>
    </w:p>
    <w:tbl>
      <w:tblPr>
        <w:tblStyle w:val="Tablaconcuadrcula"/>
        <w:tblW w:w="9498" w:type="dxa"/>
        <w:tblLayout w:type="fixed"/>
        <w:tblLook w:val="0000" w:firstRow="0" w:lastRow="0" w:firstColumn="0" w:lastColumn="0" w:noHBand="0" w:noVBand="0"/>
      </w:tblPr>
      <w:tblGrid>
        <w:gridCol w:w="2127"/>
        <w:gridCol w:w="1701"/>
        <w:gridCol w:w="1276"/>
        <w:gridCol w:w="1134"/>
        <w:gridCol w:w="1134"/>
        <w:gridCol w:w="992"/>
        <w:gridCol w:w="1134"/>
      </w:tblGrid>
      <w:tr w:rsidR="00F254D6" w:rsidRPr="00972BE7" w:rsidTr="00972BE7">
        <w:tc>
          <w:tcPr>
            <w:tcW w:w="2127" w:type="dxa"/>
          </w:tcPr>
          <w:p w:rsidR="00F254D6" w:rsidRPr="00972BE7" w:rsidRDefault="00E01129" w:rsidP="00972BE7">
            <w:pPr>
              <w:jc w:val="both"/>
              <w:rPr>
                <w:rFonts w:ascii="Arial" w:eastAsia="Arial" w:hAnsi="Arial" w:cs="Arial"/>
                <w:szCs w:val="24"/>
              </w:rPr>
            </w:pPr>
            <w:r w:rsidRPr="00972BE7">
              <w:rPr>
                <w:rFonts w:ascii="Arial" w:eastAsia="Arial" w:hAnsi="Arial" w:cs="Arial"/>
                <w:b/>
                <w:szCs w:val="24"/>
              </w:rPr>
              <w:t>Variables</w:t>
            </w:r>
          </w:p>
        </w:tc>
        <w:tc>
          <w:tcPr>
            <w:tcW w:w="1701" w:type="dxa"/>
          </w:tcPr>
          <w:p w:rsidR="00F254D6" w:rsidRPr="00972BE7" w:rsidRDefault="00E01129" w:rsidP="00972BE7">
            <w:pPr>
              <w:jc w:val="both"/>
              <w:rPr>
                <w:rFonts w:ascii="Arial" w:eastAsia="Arial" w:hAnsi="Arial" w:cs="Arial"/>
                <w:szCs w:val="24"/>
              </w:rPr>
            </w:pPr>
            <w:r w:rsidRPr="00972BE7">
              <w:rPr>
                <w:rFonts w:ascii="Arial" w:eastAsia="Arial" w:hAnsi="Arial" w:cs="Arial"/>
                <w:b/>
                <w:szCs w:val="24"/>
              </w:rPr>
              <w:t>ABC</w:t>
            </w:r>
          </w:p>
          <w:p w:rsidR="00F254D6" w:rsidRPr="00972BE7" w:rsidRDefault="00E01129" w:rsidP="00972BE7">
            <w:pPr>
              <w:jc w:val="both"/>
              <w:rPr>
                <w:rFonts w:ascii="Arial" w:eastAsia="Arial" w:hAnsi="Arial" w:cs="Arial"/>
                <w:szCs w:val="24"/>
              </w:rPr>
            </w:pPr>
            <w:r w:rsidRPr="00972BE7">
              <w:rPr>
                <w:rFonts w:ascii="Arial" w:eastAsia="Arial" w:hAnsi="Arial" w:cs="Arial"/>
                <w:b/>
                <w:szCs w:val="24"/>
              </w:rPr>
              <w:t>(IC 95%)</w:t>
            </w:r>
          </w:p>
        </w:tc>
        <w:tc>
          <w:tcPr>
            <w:tcW w:w="1276" w:type="dxa"/>
          </w:tcPr>
          <w:p w:rsidR="00F254D6" w:rsidRPr="00972BE7" w:rsidRDefault="00E01129" w:rsidP="00972BE7">
            <w:pPr>
              <w:jc w:val="both"/>
              <w:rPr>
                <w:rFonts w:ascii="Arial" w:eastAsia="Arial" w:hAnsi="Arial" w:cs="Arial"/>
                <w:szCs w:val="24"/>
              </w:rPr>
            </w:pPr>
            <w:r w:rsidRPr="00972BE7">
              <w:rPr>
                <w:rFonts w:ascii="Arial" w:eastAsia="Arial" w:hAnsi="Arial" w:cs="Arial"/>
                <w:b/>
                <w:szCs w:val="24"/>
              </w:rPr>
              <w:t>Punto de corte</w:t>
            </w:r>
          </w:p>
        </w:tc>
        <w:tc>
          <w:tcPr>
            <w:tcW w:w="1134" w:type="dxa"/>
          </w:tcPr>
          <w:p w:rsidR="00F254D6" w:rsidRPr="00972BE7" w:rsidRDefault="00E01129" w:rsidP="00972BE7">
            <w:pPr>
              <w:jc w:val="both"/>
              <w:rPr>
                <w:rFonts w:ascii="Arial" w:eastAsia="Arial" w:hAnsi="Arial" w:cs="Arial"/>
                <w:szCs w:val="24"/>
              </w:rPr>
            </w:pPr>
            <w:proofErr w:type="spellStart"/>
            <w:r w:rsidRPr="00972BE7">
              <w:rPr>
                <w:rFonts w:ascii="Arial" w:eastAsia="Arial" w:hAnsi="Arial" w:cs="Arial"/>
                <w:b/>
                <w:szCs w:val="24"/>
              </w:rPr>
              <w:t>Sens</w:t>
            </w:r>
            <w:proofErr w:type="spellEnd"/>
          </w:p>
        </w:tc>
        <w:tc>
          <w:tcPr>
            <w:tcW w:w="1134" w:type="dxa"/>
          </w:tcPr>
          <w:p w:rsidR="00F254D6" w:rsidRPr="00972BE7" w:rsidRDefault="00E01129" w:rsidP="00972BE7">
            <w:pPr>
              <w:jc w:val="both"/>
              <w:rPr>
                <w:rFonts w:ascii="Arial" w:eastAsia="Arial" w:hAnsi="Arial" w:cs="Arial"/>
                <w:szCs w:val="24"/>
              </w:rPr>
            </w:pPr>
            <w:proofErr w:type="spellStart"/>
            <w:r w:rsidRPr="00972BE7">
              <w:rPr>
                <w:rFonts w:ascii="Arial" w:eastAsia="Arial" w:hAnsi="Arial" w:cs="Arial"/>
                <w:b/>
                <w:szCs w:val="24"/>
              </w:rPr>
              <w:t>Espec</w:t>
            </w:r>
            <w:proofErr w:type="spellEnd"/>
          </w:p>
        </w:tc>
        <w:tc>
          <w:tcPr>
            <w:tcW w:w="992" w:type="dxa"/>
          </w:tcPr>
          <w:p w:rsidR="00F254D6" w:rsidRPr="00972BE7" w:rsidRDefault="00E01129" w:rsidP="00972BE7">
            <w:pPr>
              <w:jc w:val="both"/>
              <w:rPr>
                <w:rFonts w:ascii="Arial" w:eastAsia="Arial" w:hAnsi="Arial" w:cs="Arial"/>
                <w:szCs w:val="24"/>
              </w:rPr>
            </w:pPr>
            <w:r w:rsidRPr="00972BE7">
              <w:rPr>
                <w:rFonts w:ascii="Arial" w:eastAsia="Arial" w:hAnsi="Arial" w:cs="Arial"/>
                <w:b/>
                <w:szCs w:val="24"/>
              </w:rPr>
              <w:t>VPP</w:t>
            </w:r>
          </w:p>
        </w:tc>
        <w:tc>
          <w:tcPr>
            <w:tcW w:w="1134" w:type="dxa"/>
          </w:tcPr>
          <w:p w:rsidR="00F254D6" w:rsidRPr="00972BE7" w:rsidRDefault="00E01129" w:rsidP="00972BE7">
            <w:pPr>
              <w:jc w:val="both"/>
              <w:rPr>
                <w:rFonts w:ascii="Arial" w:eastAsia="Arial" w:hAnsi="Arial" w:cs="Arial"/>
                <w:szCs w:val="24"/>
              </w:rPr>
            </w:pPr>
            <w:r w:rsidRPr="00972BE7">
              <w:rPr>
                <w:rFonts w:ascii="Arial" w:eastAsia="Arial" w:hAnsi="Arial" w:cs="Arial"/>
                <w:b/>
                <w:szCs w:val="24"/>
              </w:rPr>
              <w:t>VPN</w:t>
            </w:r>
          </w:p>
        </w:tc>
      </w:tr>
      <w:tr w:rsidR="00F254D6" w:rsidRPr="00972BE7" w:rsidTr="00972BE7">
        <w:trPr>
          <w:trHeight w:val="655"/>
        </w:trPr>
        <w:tc>
          <w:tcPr>
            <w:tcW w:w="2127" w:type="dxa"/>
          </w:tcPr>
          <w:p w:rsidR="00F254D6" w:rsidRPr="00972BE7" w:rsidRDefault="00E01129" w:rsidP="00972BE7">
            <w:pPr>
              <w:jc w:val="both"/>
              <w:rPr>
                <w:rFonts w:ascii="Arial" w:eastAsia="Arial" w:hAnsi="Arial" w:cs="Arial"/>
                <w:szCs w:val="24"/>
              </w:rPr>
            </w:pPr>
            <w:r w:rsidRPr="00972BE7">
              <w:rPr>
                <w:rFonts w:ascii="Arial" w:eastAsia="Arial" w:hAnsi="Arial" w:cs="Arial"/>
                <w:b/>
                <w:i/>
                <w:szCs w:val="24"/>
              </w:rPr>
              <w:t>FEVI (%)</w:t>
            </w:r>
          </w:p>
          <w:p w:rsidR="00F254D6" w:rsidRPr="00972BE7" w:rsidRDefault="00F254D6" w:rsidP="00972BE7">
            <w:pPr>
              <w:jc w:val="both"/>
              <w:rPr>
                <w:rFonts w:ascii="Arial" w:eastAsia="Arial" w:hAnsi="Arial" w:cs="Arial"/>
                <w:szCs w:val="24"/>
              </w:rPr>
            </w:pPr>
          </w:p>
        </w:tc>
        <w:tc>
          <w:tcPr>
            <w:tcW w:w="1701"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 xml:space="preserve">0,689 </w:t>
            </w:r>
          </w:p>
          <w:p w:rsidR="00F254D6" w:rsidRPr="00972BE7" w:rsidRDefault="00E01129" w:rsidP="00972BE7">
            <w:pPr>
              <w:jc w:val="both"/>
              <w:rPr>
                <w:rFonts w:ascii="Arial" w:eastAsia="Arial" w:hAnsi="Arial" w:cs="Arial"/>
                <w:szCs w:val="24"/>
              </w:rPr>
            </w:pPr>
            <w:r w:rsidRPr="00972BE7">
              <w:rPr>
                <w:rFonts w:ascii="Arial" w:eastAsia="Arial" w:hAnsi="Arial" w:cs="Arial"/>
                <w:szCs w:val="24"/>
              </w:rPr>
              <w:t>(0,530-0,832)</w:t>
            </w:r>
          </w:p>
        </w:tc>
        <w:tc>
          <w:tcPr>
            <w:tcW w:w="1276"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65,5%</w:t>
            </w:r>
          </w:p>
        </w:tc>
        <w:tc>
          <w:tcPr>
            <w:tcW w:w="1134"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43,3%</w:t>
            </w:r>
          </w:p>
        </w:tc>
        <w:tc>
          <w:tcPr>
            <w:tcW w:w="1134"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90,5%</w:t>
            </w:r>
          </w:p>
        </w:tc>
        <w:tc>
          <w:tcPr>
            <w:tcW w:w="992"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71,4%</w:t>
            </w:r>
          </w:p>
        </w:tc>
        <w:tc>
          <w:tcPr>
            <w:tcW w:w="1134"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70,0%</w:t>
            </w:r>
          </w:p>
        </w:tc>
      </w:tr>
      <w:tr w:rsidR="00F254D6" w:rsidRPr="00972BE7" w:rsidTr="00972BE7">
        <w:trPr>
          <w:trHeight w:val="573"/>
        </w:trPr>
        <w:tc>
          <w:tcPr>
            <w:tcW w:w="2127" w:type="dxa"/>
          </w:tcPr>
          <w:p w:rsidR="00F254D6" w:rsidRPr="00972BE7" w:rsidRDefault="00E01129" w:rsidP="00972BE7">
            <w:pPr>
              <w:jc w:val="both"/>
              <w:rPr>
                <w:rFonts w:ascii="Arial" w:eastAsia="Arial" w:hAnsi="Arial" w:cs="Arial"/>
                <w:szCs w:val="24"/>
              </w:rPr>
            </w:pPr>
            <w:proofErr w:type="spellStart"/>
            <w:r w:rsidRPr="00972BE7">
              <w:rPr>
                <w:rFonts w:ascii="Arial" w:eastAsia="Arial" w:hAnsi="Arial" w:cs="Arial"/>
                <w:b/>
                <w:i/>
                <w:szCs w:val="24"/>
              </w:rPr>
              <w:t>DtsVI</w:t>
            </w:r>
            <w:proofErr w:type="spellEnd"/>
            <w:r w:rsidRPr="00972BE7">
              <w:rPr>
                <w:rFonts w:ascii="Arial" w:eastAsia="Arial" w:hAnsi="Arial" w:cs="Arial"/>
                <w:b/>
                <w:i/>
                <w:szCs w:val="24"/>
              </w:rPr>
              <w:t xml:space="preserve"> (mm)</w:t>
            </w:r>
          </w:p>
        </w:tc>
        <w:tc>
          <w:tcPr>
            <w:tcW w:w="1701"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 xml:space="preserve">0,789 </w:t>
            </w:r>
          </w:p>
          <w:p w:rsidR="00F254D6" w:rsidRPr="00972BE7" w:rsidRDefault="00E01129" w:rsidP="00972BE7">
            <w:pPr>
              <w:jc w:val="both"/>
              <w:rPr>
                <w:rFonts w:ascii="Arial" w:eastAsia="Arial" w:hAnsi="Arial" w:cs="Arial"/>
                <w:szCs w:val="24"/>
              </w:rPr>
            </w:pPr>
            <w:r w:rsidRPr="00972BE7">
              <w:rPr>
                <w:rFonts w:ascii="Arial" w:eastAsia="Arial" w:hAnsi="Arial" w:cs="Arial"/>
                <w:szCs w:val="24"/>
              </w:rPr>
              <w:t>(0,427-0,891)</w:t>
            </w:r>
          </w:p>
        </w:tc>
        <w:tc>
          <w:tcPr>
            <w:tcW w:w="1276"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39,0</w:t>
            </w:r>
          </w:p>
        </w:tc>
        <w:tc>
          <w:tcPr>
            <w:tcW w:w="1134"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52,5%</w:t>
            </w:r>
          </w:p>
        </w:tc>
        <w:tc>
          <w:tcPr>
            <w:tcW w:w="1134"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90,7%</w:t>
            </w:r>
          </w:p>
        </w:tc>
        <w:tc>
          <w:tcPr>
            <w:tcW w:w="992"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73,5%</w:t>
            </w:r>
          </w:p>
        </w:tc>
        <w:tc>
          <w:tcPr>
            <w:tcW w:w="1134"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80,9%</w:t>
            </w:r>
          </w:p>
        </w:tc>
      </w:tr>
      <w:tr w:rsidR="00F254D6" w:rsidRPr="00972BE7" w:rsidTr="00972BE7">
        <w:trPr>
          <w:trHeight w:val="265"/>
        </w:trPr>
        <w:tc>
          <w:tcPr>
            <w:tcW w:w="2127" w:type="dxa"/>
          </w:tcPr>
          <w:p w:rsidR="00F254D6" w:rsidRPr="00972BE7" w:rsidRDefault="00E01129" w:rsidP="00972BE7">
            <w:pPr>
              <w:jc w:val="both"/>
              <w:rPr>
                <w:rFonts w:ascii="Arial" w:eastAsia="Arial" w:hAnsi="Arial" w:cs="Arial"/>
                <w:szCs w:val="24"/>
                <w:lang w:val="en-US"/>
              </w:rPr>
            </w:pPr>
            <w:proofErr w:type="spellStart"/>
            <w:r w:rsidRPr="00972BE7">
              <w:rPr>
                <w:rFonts w:ascii="Arial" w:eastAsia="Arial" w:hAnsi="Arial" w:cs="Arial"/>
                <w:b/>
                <w:i/>
                <w:szCs w:val="24"/>
                <w:lang w:val="en-US"/>
              </w:rPr>
              <w:t>Dp</w:t>
            </w:r>
            <w:proofErr w:type="spellEnd"/>
            <w:r w:rsidRPr="00972BE7">
              <w:rPr>
                <w:rFonts w:ascii="Arial" w:eastAsia="Arial" w:hAnsi="Arial" w:cs="Arial"/>
                <w:b/>
                <w:i/>
                <w:szCs w:val="24"/>
                <w:lang w:val="en-US"/>
              </w:rPr>
              <w:t>/Dt VI (mmHg/seg</w:t>
            </w:r>
            <w:r w:rsidRPr="00972BE7">
              <w:rPr>
                <w:rFonts w:ascii="Arial" w:eastAsia="Arial" w:hAnsi="Arial" w:cs="Arial"/>
                <w:b/>
                <w:i/>
                <w:szCs w:val="24"/>
                <w:vertAlign w:val="superscript"/>
                <w:lang w:val="en-US"/>
              </w:rPr>
              <w:t>2</w:t>
            </w:r>
            <w:r w:rsidRPr="00972BE7">
              <w:rPr>
                <w:rFonts w:ascii="Arial" w:eastAsia="Arial" w:hAnsi="Arial" w:cs="Arial"/>
                <w:b/>
                <w:i/>
                <w:szCs w:val="24"/>
                <w:lang w:val="en-US"/>
              </w:rPr>
              <w:t>)</w:t>
            </w:r>
          </w:p>
        </w:tc>
        <w:tc>
          <w:tcPr>
            <w:tcW w:w="1701"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0,743</w:t>
            </w:r>
          </w:p>
          <w:p w:rsidR="00F254D6" w:rsidRPr="00972BE7" w:rsidRDefault="00E01129" w:rsidP="00972BE7">
            <w:pPr>
              <w:jc w:val="both"/>
              <w:rPr>
                <w:rFonts w:ascii="Arial" w:eastAsia="Arial" w:hAnsi="Arial" w:cs="Arial"/>
                <w:szCs w:val="24"/>
              </w:rPr>
            </w:pPr>
            <w:r w:rsidRPr="00972BE7">
              <w:rPr>
                <w:rFonts w:ascii="Arial" w:eastAsia="Arial" w:hAnsi="Arial" w:cs="Arial"/>
                <w:szCs w:val="24"/>
              </w:rPr>
              <w:t>(0,710-8,41)</w:t>
            </w:r>
          </w:p>
        </w:tc>
        <w:tc>
          <w:tcPr>
            <w:tcW w:w="1276"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1125</w:t>
            </w:r>
          </w:p>
        </w:tc>
        <w:tc>
          <w:tcPr>
            <w:tcW w:w="1134"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51,2%</w:t>
            </w:r>
          </w:p>
        </w:tc>
        <w:tc>
          <w:tcPr>
            <w:tcW w:w="1134"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89,0%</w:t>
            </w:r>
          </w:p>
        </w:tc>
        <w:tc>
          <w:tcPr>
            <w:tcW w:w="992"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70,9%</w:t>
            </w:r>
          </w:p>
        </w:tc>
        <w:tc>
          <w:tcPr>
            <w:tcW w:w="1134"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77,0%</w:t>
            </w:r>
          </w:p>
        </w:tc>
      </w:tr>
      <w:tr w:rsidR="00F254D6" w:rsidRPr="00972BE7" w:rsidTr="00972BE7">
        <w:trPr>
          <w:trHeight w:val="242"/>
        </w:trPr>
        <w:tc>
          <w:tcPr>
            <w:tcW w:w="2127" w:type="dxa"/>
          </w:tcPr>
          <w:p w:rsidR="00F254D6" w:rsidRPr="00972BE7" w:rsidRDefault="00E01129" w:rsidP="00972BE7">
            <w:pPr>
              <w:jc w:val="both"/>
              <w:rPr>
                <w:rFonts w:ascii="Arial" w:eastAsia="Arial" w:hAnsi="Arial" w:cs="Arial"/>
                <w:szCs w:val="24"/>
              </w:rPr>
            </w:pPr>
            <w:proofErr w:type="spellStart"/>
            <w:r w:rsidRPr="00972BE7">
              <w:rPr>
                <w:rFonts w:ascii="Arial" w:eastAsia="Arial" w:hAnsi="Arial" w:cs="Arial"/>
                <w:b/>
                <w:i/>
                <w:szCs w:val="24"/>
              </w:rPr>
              <w:t>Strain</w:t>
            </w:r>
            <w:proofErr w:type="spellEnd"/>
            <w:r w:rsidRPr="00972BE7">
              <w:rPr>
                <w:rFonts w:ascii="Arial" w:eastAsia="Arial" w:hAnsi="Arial" w:cs="Arial"/>
                <w:b/>
                <w:i/>
                <w:szCs w:val="24"/>
              </w:rPr>
              <w:t xml:space="preserve"> basal (%)</w:t>
            </w:r>
          </w:p>
        </w:tc>
        <w:tc>
          <w:tcPr>
            <w:tcW w:w="1701"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0,855</w:t>
            </w:r>
          </w:p>
          <w:p w:rsidR="00F254D6" w:rsidRPr="00972BE7" w:rsidRDefault="00E01129" w:rsidP="00972BE7">
            <w:pPr>
              <w:jc w:val="both"/>
              <w:rPr>
                <w:rFonts w:ascii="Arial" w:eastAsia="Arial" w:hAnsi="Arial" w:cs="Arial"/>
                <w:szCs w:val="24"/>
              </w:rPr>
            </w:pPr>
            <w:r w:rsidRPr="00972BE7">
              <w:rPr>
                <w:rFonts w:ascii="Arial" w:eastAsia="Arial" w:hAnsi="Arial" w:cs="Arial"/>
                <w:szCs w:val="24"/>
              </w:rPr>
              <w:t>(0,785-0,896)</w:t>
            </w:r>
          </w:p>
        </w:tc>
        <w:tc>
          <w:tcPr>
            <w:tcW w:w="1276"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8,19</w:t>
            </w:r>
          </w:p>
        </w:tc>
        <w:tc>
          <w:tcPr>
            <w:tcW w:w="1134"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67,7%</w:t>
            </w:r>
          </w:p>
        </w:tc>
        <w:tc>
          <w:tcPr>
            <w:tcW w:w="1134"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91,2%</w:t>
            </w:r>
          </w:p>
        </w:tc>
        <w:tc>
          <w:tcPr>
            <w:tcW w:w="992"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80,0%</w:t>
            </w:r>
          </w:p>
        </w:tc>
        <w:tc>
          <w:tcPr>
            <w:tcW w:w="1134"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84,3%</w:t>
            </w:r>
          </w:p>
        </w:tc>
      </w:tr>
      <w:tr w:rsidR="00F254D6" w:rsidRPr="00972BE7" w:rsidTr="00972BE7">
        <w:trPr>
          <w:trHeight w:val="311"/>
        </w:trPr>
        <w:tc>
          <w:tcPr>
            <w:tcW w:w="2127" w:type="dxa"/>
          </w:tcPr>
          <w:p w:rsidR="00F254D6" w:rsidRPr="00972BE7" w:rsidRDefault="00E01129" w:rsidP="00972BE7">
            <w:pPr>
              <w:jc w:val="both"/>
              <w:rPr>
                <w:rFonts w:ascii="Arial" w:eastAsia="Arial" w:hAnsi="Arial" w:cs="Arial"/>
                <w:szCs w:val="24"/>
              </w:rPr>
            </w:pPr>
            <w:proofErr w:type="spellStart"/>
            <w:r w:rsidRPr="00972BE7">
              <w:rPr>
                <w:rFonts w:ascii="Arial" w:eastAsia="Arial" w:hAnsi="Arial" w:cs="Arial"/>
                <w:b/>
                <w:i/>
                <w:szCs w:val="24"/>
              </w:rPr>
              <w:t>Strain</w:t>
            </w:r>
            <w:proofErr w:type="spellEnd"/>
            <w:r w:rsidRPr="00972BE7">
              <w:rPr>
                <w:rFonts w:ascii="Arial" w:eastAsia="Arial" w:hAnsi="Arial" w:cs="Arial"/>
                <w:b/>
                <w:i/>
                <w:szCs w:val="24"/>
              </w:rPr>
              <w:t xml:space="preserve"> </w:t>
            </w:r>
            <w:proofErr w:type="spellStart"/>
            <w:r w:rsidRPr="00972BE7">
              <w:rPr>
                <w:rFonts w:ascii="Arial" w:eastAsia="Arial" w:hAnsi="Arial" w:cs="Arial"/>
                <w:b/>
                <w:i/>
                <w:szCs w:val="24"/>
              </w:rPr>
              <w:t>rate</w:t>
            </w:r>
            <w:proofErr w:type="spellEnd"/>
            <w:r w:rsidRPr="00972BE7">
              <w:rPr>
                <w:rFonts w:ascii="Arial" w:eastAsia="Arial" w:hAnsi="Arial" w:cs="Arial"/>
                <w:b/>
                <w:i/>
                <w:szCs w:val="24"/>
              </w:rPr>
              <w:t xml:space="preserve"> basal (S-1)</w:t>
            </w:r>
          </w:p>
        </w:tc>
        <w:tc>
          <w:tcPr>
            <w:tcW w:w="1701"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 xml:space="preserve">0,787 </w:t>
            </w:r>
          </w:p>
          <w:p w:rsidR="00F254D6" w:rsidRPr="00972BE7" w:rsidRDefault="00E01129" w:rsidP="00972BE7">
            <w:pPr>
              <w:jc w:val="both"/>
              <w:rPr>
                <w:rFonts w:ascii="Arial" w:eastAsia="Arial" w:hAnsi="Arial" w:cs="Arial"/>
                <w:szCs w:val="24"/>
              </w:rPr>
            </w:pPr>
            <w:r w:rsidRPr="00972BE7">
              <w:rPr>
                <w:rFonts w:ascii="Arial" w:eastAsia="Arial" w:hAnsi="Arial" w:cs="Arial"/>
                <w:szCs w:val="24"/>
              </w:rPr>
              <w:t>(0,662-0,894)</w:t>
            </w:r>
          </w:p>
        </w:tc>
        <w:tc>
          <w:tcPr>
            <w:tcW w:w="1276"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-0,89</w:t>
            </w:r>
          </w:p>
        </w:tc>
        <w:tc>
          <w:tcPr>
            <w:tcW w:w="1134"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58,0%</w:t>
            </w:r>
          </w:p>
        </w:tc>
        <w:tc>
          <w:tcPr>
            <w:tcW w:w="1134"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87,7%</w:t>
            </w:r>
          </w:p>
        </w:tc>
        <w:tc>
          <w:tcPr>
            <w:tcW w:w="992"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75,0%</w:t>
            </w:r>
          </w:p>
        </w:tc>
        <w:tc>
          <w:tcPr>
            <w:tcW w:w="1134" w:type="dxa"/>
          </w:tcPr>
          <w:p w:rsidR="00F254D6" w:rsidRPr="00972BE7" w:rsidRDefault="00E01129" w:rsidP="00972BE7">
            <w:pPr>
              <w:jc w:val="both"/>
              <w:rPr>
                <w:rFonts w:ascii="Arial" w:eastAsia="Arial" w:hAnsi="Arial" w:cs="Arial"/>
                <w:szCs w:val="24"/>
              </w:rPr>
            </w:pPr>
            <w:r w:rsidRPr="00972BE7">
              <w:rPr>
                <w:rFonts w:ascii="Arial" w:eastAsia="Arial" w:hAnsi="Arial" w:cs="Arial"/>
                <w:szCs w:val="24"/>
              </w:rPr>
              <w:t>77,0%</w:t>
            </w:r>
          </w:p>
        </w:tc>
      </w:tr>
    </w:tbl>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 xml:space="preserve">ABC: Área bajo la curva; </w:t>
      </w:r>
      <w:proofErr w:type="spellStart"/>
      <w:r>
        <w:rPr>
          <w:rFonts w:ascii="Arial" w:eastAsia="Arial" w:hAnsi="Arial" w:cs="Arial"/>
          <w:sz w:val="24"/>
          <w:szCs w:val="24"/>
        </w:rPr>
        <w:t>Sens</w:t>
      </w:r>
      <w:proofErr w:type="spellEnd"/>
      <w:r>
        <w:rPr>
          <w:rFonts w:ascii="Arial" w:eastAsia="Arial" w:hAnsi="Arial" w:cs="Arial"/>
          <w:sz w:val="24"/>
          <w:szCs w:val="24"/>
        </w:rPr>
        <w:t xml:space="preserve">: Sensibilidad; </w:t>
      </w:r>
      <w:proofErr w:type="spellStart"/>
      <w:r>
        <w:rPr>
          <w:rFonts w:ascii="Arial" w:eastAsia="Arial" w:hAnsi="Arial" w:cs="Arial"/>
          <w:sz w:val="24"/>
          <w:szCs w:val="24"/>
        </w:rPr>
        <w:t>Espec</w:t>
      </w:r>
      <w:proofErr w:type="spellEnd"/>
      <w:r>
        <w:rPr>
          <w:rFonts w:ascii="Arial" w:eastAsia="Arial" w:hAnsi="Arial" w:cs="Arial"/>
          <w:sz w:val="24"/>
          <w:szCs w:val="24"/>
        </w:rPr>
        <w:t xml:space="preserve">: Especificidad; IC: Intervalo de confianza; VPP: Valor predictivo positivo; VPN: Valor predictivo negativo. </w:t>
      </w:r>
    </w:p>
    <w:p w:rsidR="00F254D6" w:rsidRDefault="00E01129" w:rsidP="00593074">
      <w:pPr>
        <w:spacing w:after="0" w:line="360" w:lineRule="auto"/>
        <w:jc w:val="both"/>
        <w:rPr>
          <w:rFonts w:ascii="Arial" w:eastAsia="Arial" w:hAnsi="Arial" w:cs="Arial"/>
          <w:sz w:val="24"/>
          <w:szCs w:val="24"/>
        </w:rPr>
      </w:pPr>
      <w:r>
        <w:rPr>
          <w:rFonts w:ascii="Arial" w:eastAsia="Arial" w:hAnsi="Arial" w:cs="Arial"/>
          <w:noProof/>
          <w:sz w:val="24"/>
          <w:szCs w:val="24"/>
          <w:lang w:val="en-US"/>
        </w:rPr>
        <w:lastRenderedPageBreak/>
        <w:drawing>
          <wp:inline distT="0" distB="0" distL="114300" distR="114300">
            <wp:extent cx="5695950" cy="3815080"/>
            <wp:effectExtent l="0" t="0" r="0" b="0"/>
            <wp:docPr id="12" name="image12.png" descr="D:\Users\user-PC\Desktop\Imagen1.jpg"/>
            <wp:cNvGraphicFramePr/>
            <a:graphic xmlns:a="http://schemas.openxmlformats.org/drawingml/2006/main">
              <a:graphicData uri="http://schemas.openxmlformats.org/drawingml/2006/picture">
                <pic:pic xmlns:pic="http://schemas.openxmlformats.org/drawingml/2006/picture">
                  <pic:nvPicPr>
                    <pic:cNvPr id="0" name="image12.png" descr="D:\Users\user-PC\Desktop\Imagen1.jpg"/>
                    <pic:cNvPicPr preferRelativeResize="0"/>
                  </pic:nvPicPr>
                  <pic:blipFill>
                    <a:blip r:embed="rId8"/>
                    <a:srcRect/>
                    <a:stretch>
                      <a:fillRect/>
                    </a:stretch>
                  </pic:blipFill>
                  <pic:spPr>
                    <a:xfrm>
                      <a:off x="0" y="0"/>
                      <a:ext cx="5695950" cy="3815080"/>
                    </a:xfrm>
                    <a:prstGeom prst="rect">
                      <a:avLst/>
                    </a:prstGeom>
                    <a:ln/>
                  </pic:spPr>
                </pic:pic>
              </a:graphicData>
            </a:graphic>
          </wp:inline>
        </w:drawing>
      </w:r>
      <w:r>
        <w:rPr>
          <w:rFonts w:ascii="Arial" w:eastAsia="Arial" w:hAnsi="Arial" w:cs="Arial"/>
          <w:sz w:val="24"/>
          <w:szCs w:val="24"/>
        </w:rPr>
        <w:t xml:space="preserve">Figura 2. Área bajo la curva de los parámetros ecocardiográficos en la predicción de disfunción ventricular postoperatoria. </w:t>
      </w: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 xml:space="preserve">El </w:t>
      </w:r>
      <w:proofErr w:type="spellStart"/>
      <w:r>
        <w:rPr>
          <w:rFonts w:ascii="Arial" w:eastAsia="Arial" w:hAnsi="Arial" w:cs="Arial"/>
          <w:i/>
          <w:sz w:val="24"/>
          <w:szCs w:val="24"/>
        </w:rPr>
        <w:t>strain</w:t>
      </w:r>
      <w:proofErr w:type="spellEnd"/>
      <w:r>
        <w:rPr>
          <w:rFonts w:ascii="Arial" w:eastAsia="Arial" w:hAnsi="Arial" w:cs="Arial"/>
          <w:i/>
          <w:sz w:val="24"/>
          <w:szCs w:val="24"/>
        </w:rPr>
        <w:t xml:space="preserve"> </w:t>
      </w:r>
      <w:r>
        <w:rPr>
          <w:rFonts w:ascii="Arial" w:eastAsia="Arial" w:hAnsi="Arial" w:cs="Arial"/>
          <w:sz w:val="24"/>
          <w:szCs w:val="24"/>
        </w:rPr>
        <w:t xml:space="preserve">basal mostró un buen valor predictivo de disfunción ventricular postoperatoria (ABC=0,855), seguido por el </w:t>
      </w:r>
      <w:proofErr w:type="spellStart"/>
      <w:r>
        <w:rPr>
          <w:rFonts w:ascii="Arial" w:eastAsia="Arial" w:hAnsi="Arial" w:cs="Arial"/>
          <w:sz w:val="24"/>
          <w:szCs w:val="24"/>
        </w:rPr>
        <w:t>DtsVI</w:t>
      </w:r>
      <w:proofErr w:type="spellEnd"/>
      <w:r>
        <w:rPr>
          <w:rFonts w:ascii="Arial" w:eastAsia="Arial" w:hAnsi="Arial" w:cs="Arial"/>
          <w:sz w:val="24"/>
          <w:szCs w:val="24"/>
        </w:rPr>
        <w:t xml:space="preserve"> (ABC=0,789), el </w:t>
      </w:r>
      <w:proofErr w:type="spellStart"/>
      <w:r>
        <w:rPr>
          <w:rFonts w:ascii="Arial" w:eastAsia="Arial" w:hAnsi="Arial" w:cs="Arial"/>
          <w:i/>
          <w:sz w:val="24"/>
          <w:szCs w:val="24"/>
        </w:rPr>
        <w:t>strain</w:t>
      </w:r>
      <w:proofErr w:type="spellEnd"/>
      <w:r>
        <w:rPr>
          <w:rFonts w:ascii="Arial" w:eastAsia="Arial" w:hAnsi="Arial" w:cs="Arial"/>
          <w:i/>
          <w:sz w:val="24"/>
          <w:szCs w:val="24"/>
        </w:rPr>
        <w:t xml:space="preserve"> </w:t>
      </w:r>
      <w:proofErr w:type="spellStart"/>
      <w:r>
        <w:rPr>
          <w:rFonts w:ascii="Arial" w:eastAsia="Arial" w:hAnsi="Arial" w:cs="Arial"/>
          <w:i/>
          <w:sz w:val="24"/>
          <w:szCs w:val="24"/>
        </w:rPr>
        <w:t>rate</w:t>
      </w:r>
      <w:proofErr w:type="spellEnd"/>
      <w:r>
        <w:rPr>
          <w:rFonts w:ascii="Arial" w:eastAsia="Arial" w:hAnsi="Arial" w:cs="Arial"/>
          <w:sz w:val="24"/>
          <w:szCs w:val="24"/>
        </w:rPr>
        <w:t xml:space="preserve"> basal (ABC=0,787) y el </w:t>
      </w:r>
      <w:proofErr w:type="spellStart"/>
      <w:r>
        <w:rPr>
          <w:rFonts w:ascii="Arial" w:eastAsia="Arial" w:hAnsi="Arial" w:cs="Arial"/>
          <w:sz w:val="24"/>
          <w:szCs w:val="24"/>
        </w:rPr>
        <w:t>DpDt</w:t>
      </w:r>
      <w:proofErr w:type="spellEnd"/>
      <w:r>
        <w:rPr>
          <w:rFonts w:ascii="Arial" w:eastAsia="Arial" w:hAnsi="Arial" w:cs="Arial"/>
          <w:sz w:val="24"/>
          <w:szCs w:val="24"/>
        </w:rPr>
        <w:t xml:space="preserve"> del VI(ABC=0,743), en los que fue considerado de aceptable. Por el contrario, la FEVI preoperatoria mostró un valor predictivo regular (ABC=0,689). El mejor valor de corte para el </w:t>
      </w:r>
      <w:proofErr w:type="spellStart"/>
      <w:r>
        <w:rPr>
          <w:rFonts w:ascii="Arial" w:eastAsia="Arial" w:hAnsi="Arial" w:cs="Arial"/>
          <w:i/>
          <w:sz w:val="24"/>
          <w:szCs w:val="24"/>
        </w:rPr>
        <w:t>strain</w:t>
      </w:r>
      <w:proofErr w:type="spellEnd"/>
      <w:r>
        <w:rPr>
          <w:rFonts w:ascii="Arial" w:eastAsia="Arial" w:hAnsi="Arial" w:cs="Arial"/>
          <w:sz w:val="24"/>
          <w:szCs w:val="24"/>
        </w:rPr>
        <w:t xml:space="preserve"> basal fue de 8,19%, con una sensibilidad del 67,7% y especificidad del 91,2%, mientras que el </w:t>
      </w:r>
      <w:proofErr w:type="spellStart"/>
      <w:r>
        <w:rPr>
          <w:rFonts w:ascii="Arial" w:eastAsia="Arial" w:hAnsi="Arial" w:cs="Arial"/>
          <w:i/>
          <w:sz w:val="24"/>
          <w:szCs w:val="24"/>
        </w:rPr>
        <w:t>strain</w:t>
      </w:r>
      <w:proofErr w:type="spellEnd"/>
      <w:r>
        <w:rPr>
          <w:rFonts w:ascii="Arial" w:eastAsia="Arial" w:hAnsi="Arial" w:cs="Arial"/>
          <w:i/>
          <w:sz w:val="24"/>
          <w:szCs w:val="24"/>
        </w:rPr>
        <w:t xml:space="preserve"> </w:t>
      </w:r>
      <w:proofErr w:type="spellStart"/>
      <w:r>
        <w:rPr>
          <w:rFonts w:ascii="Arial" w:eastAsia="Arial" w:hAnsi="Arial" w:cs="Arial"/>
          <w:i/>
          <w:sz w:val="24"/>
          <w:szCs w:val="24"/>
        </w:rPr>
        <w:t>rate</w:t>
      </w:r>
      <w:proofErr w:type="spellEnd"/>
      <w:r>
        <w:rPr>
          <w:rFonts w:ascii="Arial" w:eastAsia="Arial" w:hAnsi="Arial" w:cs="Arial"/>
          <w:sz w:val="24"/>
          <w:szCs w:val="24"/>
        </w:rPr>
        <w:t xml:space="preserve"> basal de -0,89 tuvo una sensibilidad del 58,0% y especificidad del 87,7%. </w:t>
      </w:r>
    </w:p>
    <w:p w:rsidR="00F254D6" w:rsidRDefault="00F254D6" w:rsidP="00593074">
      <w:pPr>
        <w:spacing w:after="0" w:line="360" w:lineRule="auto"/>
        <w:jc w:val="both"/>
        <w:rPr>
          <w:rFonts w:ascii="Arial" w:eastAsia="Arial" w:hAnsi="Arial" w:cs="Arial"/>
          <w:sz w:val="24"/>
          <w:szCs w:val="24"/>
        </w:rPr>
      </w:pPr>
    </w:p>
    <w:p w:rsidR="00F254D6" w:rsidRPr="00972BE7" w:rsidRDefault="00E01129" w:rsidP="00593074">
      <w:pPr>
        <w:spacing w:after="0" w:line="360" w:lineRule="auto"/>
        <w:jc w:val="both"/>
        <w:rPr>
          <w:rFonts w:ascii="Arial" w:eastAsia="Arial" w:hAnsi="Arial" w:cs="Arial"/>
          <w:sz w:val="24"/>
          <w:szCs w:val="28"/>
        </w:rPr>
      </w:pPr>
      <w:r w:rsidRPr="00972BE7">
        <w:rPr>
          <w:rFonts w:ascii="Arial" w:eastAsia="Arial" w:hAnsi="Arial" w:cs="Arial"/>
          <w:b/>
          <w:sz w:val="24"/>
          <w:szCs w:val="28"/>
        </w:rPr>
        <w:t>CONCLUSIONES</w:t>
      </w: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 xml:space="preserve">- La FEVI preoperatoria y el </w:t>
      </w:r>
      <w:proofErr w:type="spellStart"/>
      <w:r>
        <w:rPr>
          <w:rFonts w:ascii="Arial" w:eastAsia="Arial" w:hAnsi="Arial" w:cs="Arial"/>
          <w:sz w:val="24"/>
          <w:szCs w:val="24"/>
        </w:rPr>
        <w:t>Dp</w:t>
      </w:r>
      <w:proofErr w:type="spellEnd"/>
      <w:r>
        <w:rPr>
          <w:rFonts w:ascii="Arial" w:eastAsia="Arial" w:hAnsi="Arial" w:cs="Arial"/>
          <w:sz w:val="24"/>
          <w:szCs w:val="24"/>
        </w:rPr>
        <w:t>/</w:t>
      </w:r>
      <w:proofErr w:type="spellStart"/>
      <w:r>
        <w:rPr>
          <w:rFonts w:ascii="Arial" w:eastAsia="Arial" w:hAnsi="Arial" w:cs="Arial"/>
          <w:sz w:val="24"/>
          <w:szCs w:val="24"/>
        </w:rPr>
        <w:t>Dt</w:t>
      </w:r>
      <w:proofErr w:type="spellEnd"/>
      <w:r>
        <w:rPr>
          <w:rFonts w:ascii="Arial" w:eastAsia="Arial" w:hAnsi="Arial" w:cs="Arial"/>
          <w:sz w:val="24"/>
          <w:szCs w:val="24"/>
        </w:rPr>
        <w:t xml:space="preserve"> del VI son parámetros que se relacionan con una mayor probabilidad de disfunción ventricular postoperatoria, aunque con un valor predictivo menor a los parámetros de deformación. </w:t>
      </w:r>
    </w:p>
    <w:p w:rsidR="00F254D6" w:rsidRDefault="00E01129" w:rsidP="00593074">
      <w:pPr>
        <w:spacing w:after="0" w:line="360" w:lineRule="auto"/>
        <w:jc w:val="both"/>
        <w:rPr>
          <w:rFonts w:ascii="Arial" w:eastAsia="Arial" w:hAnsi="Arial" w:cs="Arial"/>
          <w:sz w:val="24"/>
          <w:szCs w:val="24"/>
        </w:rPr>
      </w:pPr>
      <w:r>
        <w:rPr>
          <w:rFonts w:ascii="Arial" w:eastAsia="Arial" w:hAnsi="Arial" w:cs="Arial"/>
          <w:sz w:val="24"/>
          <w:szCs w:val="24"/>
        </w:rPr>
        <w:t>- La valoración de la función sistólica mediante el análisis de la deformación miocárdica (</w:t>
      </w:r>
      <w:proofErr w:type="spellStart"/>
      <w:r>
        <w:rPr>
          <w:rFonts w:ascii="Arial" w:eastAsia="Arial" w:hAnsi="Arial" w:cs="Arial"/>
          <w:i/>
          <w:sz w:val="24"/>
          <w:szCs w:val="24"/>
        </w:rPr>
        <w:t>strain</w:t>
      </w:r>
      <w:proofErr w:type="spellEnd"/>
      <w:r>
        <w:rPr>
          <w:rFonts w:ascii="Arial" w:eastAsia="Arial" w:hAnsi="Arial" w:cs="Arial"/>
          <w:sz w:val="24"/>
          <w:szCs w:val="24"/>
        </w:rPr>
        <w:t xml:space="preserve"> y </w:t>
      </w:r>
      <w:proofErr w:type="spellStart"/>
      <w:r>
        <w:rPr>
          <w:rFonts w:ascii="Arial" w:eastAsia="Arial" w:hAnsi="Arial" w:cs="Arial"/>
          <w:i/>
          <w:sz w:val="24"/>
          <w:szCs w:val="24"/>
        </w:rPr>
        <w:t>strain</w:t>
      </w:r>
      <w:proofErr w:type="spellEnd"/>
      <w:r>
        <w:rPr>
          <w:rFonts w:ascii="Arial" w:eastAsia="Arial" w:hAnsi="Arial" w:cs="Arial"/>
          <w:i/>
          <w:sz w:val="24"/>
          <w:szCs w:val="24"/>
        </w:rPr>
        <w:t xml:space="preserve"> </w:t>
      </w:r>
      <w:proofErr w:type="spellStart"/>
      <w:r>
        <w:rPr>
          <w:rFonts w:ascii="Arial" w:eastAsia="Arial" w:hAnsi="Arial" w:cs="Arial"/>
          <w:i/>
          <w:sz w:val="24"/>
          <w:szCs w:val="24"/>
        </w:rPr>
        <w:t>rate</w:t>
      </w:r>
      <w:proofErr w:type="spellEnd"/>
      <w:r>
        <w:rPr>
          <w:rFonts w:ascii="Arial" w:eastAsia="Arial" w:hAnsi="Arial" w:cs="Arial"/>
          <w:sz w:val="24"/>
          <w:szCs w:val="24"/>
        </w:rPr>
        <w:t xml:space="preserve">) constituye un método preciso y útil en la identificación de disfunción ventricular postoperatoria en pacientes intervenidos por insuficiencia mitral. </w:t>
      </w:r>
    </w:p>
    <w:p w:rsidR="00F254D6" w:rsidRDefault="00F254D6" w:rsidP="00593074">
      <w:pPr>
        <w:spacing w:after="0" w:line="360" w:lineRule="auto"/>
        <w:jc w:val="both"/>
        <w:rPr>
          <w:rFonts w:ascii="Arial" w:eastAsia="Arial" w:hAnsi="Arial" w:cs="Arial"/>
          <w:sz w:val="28"/>
          <w:szCs w:val="28"/>
        </w:rPr>
      </w:pPr>
    </w:p>
    <w:p w:rsidR="00F254D6" w:rsidRDefault="00E01129" w:rsidP="00593074">
      <w:pPr>
        <w:spacing w:after="0" w:line="360" w:lineRule="auto"/>
        <w:jc w:val="both"/>
        <w:rPr>
          <w:rFonts w:ascii="Arial" w:eastAsia="Arial" w:hAnsi="Arial" w:cs="Arial"/>
          <w:sz w:val="24"/>
          <w:szCs w:val="24"/>
        </w:rPr>
      </w:pPr>
      <w:r>
        <w:rPr>
          <w:rFonts w:ascii="Arial" w:eastAsia="Arial" w:hAnsi="Arial" w:cs="Arial"/>
          <w:b/>
          <w:sz w:val="24"/>
          <w:szCs w:val="24"/>
        </w:rPr>
        <w:lastRenderedPageBreak/>
        <w:t>REFERENCIAS BIBLIOGRÁFICAS.</w:t>
      </w:r>
    </w:p>
    <w:p w:rsidR="00F254D6" w:rsidRPr="00972BE7" w:rsidRDefault="00E01129" w:rsidP="00593074">
      <w:pPr>
        <w:numPr>
          <w:ilvl w:val="0"/>
          <w:numId w:val="2"/>
        </w:numPr>
        <w:pBdr>
          <w:top w:val="nil"/>
          <w:left w:val="nil"/>
          <w:bottom w:val="nil"/>
          <w:right w:val="nil"/>
          <w:between w:val="nil"/>
        </w:pBdr>
        <w:spacing w:after="0" w:line="360" w:lineRule="auto"/>
        <w:jc w:val="both"/>
        <w:rPr>
          <w:rFonts w:ascii="Arial" w:eastAsia="Arial" w:hAnsi="Arial" w:cs="Arial"/>
          <w:color w:val="000000"/>
        </w:rPr>
      </w:pPr>
      <w:proofErr w:type="spellStart"/>
      <w:r w:rsidRPr="00972BE7">
        <w:rPr>
          <w:rFonts w:ascii="Arial" w:eastAsia="Arial" w:hAnsi="Arial" w:cs="Arial"/>
          <w:color w:val="000000"/>
          <w:lang w:val="en-US"/>
        </w:rPr>
        <w:t>Tribouilloy</w:t>
      </w:r>
      <w:proofErr w:type="spellEnd"/>
      <w:r w:rsidRPr="00972BE7">
        <w:rPr>
          <w:rFonts w:ascii="Arial" w:eastAsia="Arial" w:hAnsi="Arial" w:cs="Arial"/>
          <w:color w:val="000000"/>
          <w:lang w:val="en-US"/>
        </w:rPr>
        <w:t xml:space="preserve"> C, </w:t>
      </w:r>
      <w:proofErr w:type="spellStart"/>
      <w:r w:rsidRPr="00972BE7">
        <w:rPr>
          <w:rFonts w:ascii="Arial" w:eastAsia="Arial" w:hAnsi="Arial" w:cs="Arial"/>
          <w:color w:val="000000"/>
          <w:lang w:val="en-US"/>
        </w:rPr>
        <w:t>Rusinaru</w:t>
      </w:r>
      <w:proofErr w:type="spellEnd"/>
      <w:r w:rsidRPr="00972BE7">
        <w:rPr>
          <w:rFonts w:ascii="Arial" w:eastAsia="Arial" w:hAnsi="Arial" w:cs="Arial"/>
          <w:color w:val="000000"/>
          <w:lang w:val="en-US"/>
        </w:rPr>
        <w:t xml:space="preserve"> D, Szymanski C, et al. Predicting left ventricular dysfunction after valve repair for mitral regurgitation </w:t>
      </w:r>
      <w:proofErr w:type="spellStart"/>
      <w:r w:rsidRPr="00972BE7">
        <w:rPr>
          <w:rFonts w:ascii="Arial" w:eastAsia="Arial" w:hAnsi="Arial" w:cs="Arial"/>
          <w:color w:val="000000"/>
          <w:lang w:val="en-US"/>
        </w:rPr>
        <w:t>duetoleaflet</w:t>
      </w:r>
      <w:proofErr w:type="spellEnd"/>
      <w:r w:rsidRPr="00972BE7">
        <w:rPr>
          <w:rFonts w:ascii="Arial" w:eastAsia="Arial" w:hAnsi="Arial" w:cs="Arial"/>
          <w:color w:val="000000"/>
          <w:lang w:val="en-US"/>
        </w:rPr>
        <w:t xml:space="preserve"> </w:t>
      </w:r>
      <w:proofErr w:type="spellStart"/>
      <w:proofErr w:type="gramStart"/>
      <w:r w:rsidRPr="00972BE7">
        <w:rPr>
          <w:rFonts w:ascii="Arial" w:eastAsia="Arial" w:hAnsi="Arial" w:cs="Arial"/>
          <w:color w:val="000000"/>
          <w:lang w:val="en-US"/>
        </w:rPr>
        <w:t>prolapse:Additivevalueofleftventricularend</w:t>
      </w:r>
      <w:proofErr w:type="gramEnd"/>
      <w:r w:rsidRPr="00972BE7">
        <w:rPr>
          <w:rFonts w:ascii="Arial" w:eastAsia="Arial" w:hAnsi="Arial" w:cs="Arial"/>
          <w:color w:val="000000"/>
          <w:lang w:val="en-US"/>
        </w:rPr>
        <w:t>-systolic</w:t>
      </w:r>
      <w:proofErr w:type="spellEnd"/>
      <w:r w:rsidRPr="00972BE7">
        <w:rPr>
          <w:rFonts w:ascii="Arial" w:eastAsia="Arial" w:hAnsi="Arial" w:cs="Arial"/>
          <w:color w:val="000000"/>
          <w:lang w:val="en-US"/>
        </w:rPr>
        <w:t xml:space="preserve"> dimension to ejection fraction. </w:t>
      </w:r>
      <w:proofErr w:type="spellStart"/>
      <w:r w:rsidRPr="00972BE7">
        <w:rPr>
          <w:rFonts w:ascii="Arial" w:eastAsia="Arial" w:hAnsi="Arial" w:cs="Arial"/>
          <w:color w:val="000000"/>
        </w:rPr>
        <w:t>Eur</w:t>
      </w:r>
      <w:proofErr w:type="spellEnd"/>
      <w:r w:rsidRPr="00972BE7">
        <w:rPr>
          <w:rFonts w:ascii="Arial" w:eastAsia="Arial" w:hAnsi="Arial" w:cs="Arial"/>
          <w:color w:val="000000"/>
        </w:rPr>
        <w:t xml:space="preserve"> J </w:t>
      </w:r>
      <w:proofErr w:type="spellStart"/>
      <w:r w:rsidRPr="00972BE7">
        <w:rPr>
          <w:rFonts w:ascii="Arial" w:eastAsia="Arial" w:hAnsi="Arial" w:cs="Arial"/>
          <w:color w:val="000000"/>
        </w:rPr>
        <w:t>Echocardiogr</w:t>
      </w:r>
      <w:proofErr w:type="spellEnd"/>
      <w:r w:rsidRPr="00972BE7">
        <w:rPr>
          <w:rFonts w:ascii="Arial" w:eastAsia="Arial" w:hAnsi="Arial" w:cs="Arial"/>
          <w:color w:val="000000"/>
        </w:rPr>
        <w:t xml:space="preserve">. 2011; 12:702-10. </w:t>
      </w:r>
    </w:p>
    <w:p w:rsidR="00F254D6" w:rsidRPr="00972BE7" w:rsidRDefault="00E01129" w:rsidP="00593074">
      <w:pPr>
        <w:numPr>
          <w:ilvl w:val="0"/>
          <w:numId w:val="2"/>
        </w:numPr>
        <w:pBdr>
          <w:top w:val="nil"/>
          <w:left w:val="nil"/>
          <w:bottom w:val="nil"/>
          <w:right w:val="nil"/>
          <w:between w:val="nil"/>
        </w:pBdr>
        <w:spacing w:after="0" w:line="360" w:lineRule="auto"/>
        <w:jc w:val="both"/>
        <w:rPr>
          <w:rFonts w:ascii="Arial" w:eastAsia="Arial" w:hAnsi="Arial" w:cs="Arial"/>
          <w:color w:val="000000"/>
        </w:rPr>
      </w:pPr>
      <w:r w:rsidRPr="00972BE7">
        <w:rPr>
          <w:rFonts w:ascii="Arial" w:eastAsia="Arial" w:hAnsi="Arial" w:cs="Arial"/>
          <w:color w:val="000000"/>
        </w:rPr>
        <w:t xml:space="preserve">Michelena HI, Bichara VM, </w:t>
      </w:r>
      <w:proofErr w:type="spellStart"/>
      <w:r w:rsidRPr="00972BE7">
        <w:rPr>
          <w:rFonts w:ascii="Arial" w:eastAsia="Arial" w:hAnsi="Arial" w:cs="Arial"/>
          <w:color w:val="000000"/>
        </w:rPr>
        <w:t>Margaryan</w:t>
      </w:r>
      <w:proofErr w:type="spellEnd"/>
      <w:r w:rsidRPr="00972BE7">
        <w:rPr>
          <w:rFonts w:ascii="Arial" w:eastAsia="Arial" w:hAnsi="Arial" w:cs="Arial"/>
          <w:color w:val="000000"/>
        </w:rPr>
        <w:t xml:space="preserve"> E, </w:t>
      </w:r>
      <w:proofErr w:type="spellStart"/>
      <w:r w:rsidRPr="00972BE7">
        <w:rPr>
          <w:rFonts w:ascii="Arial" w:eastAsia="Arial" w:hAnsi="Arial" w:cs="Arial"/>
          <w:color w:val="000000"/>
        </w:rPr>
        <w:t>Forde</w:t>
      </w:r>
      <w:proofErr w:type="spellEnd"/>
      <w:r w:rsidRPr="00972BE7">
        <w:rPr>
          <w:rFonts w:ascii="Arial" w:eastAsia="Arial" w:hAnsi="Arial" w:cs="Arial"/>
          <w:color w:val="000000"/>
        </w:rPr>
        <w:t xml:space="preserve"> I, </w:t>
      </w:r>
      <w:proofErr w:type="spellStart"/>
      <w:r w:rsidRPr="00972BE7">
        <w:rPr>
          <w:rFonts w:ascii="Arial" w:eastAsia="Arial" w:hAnsi="Arial" w:cs="Arial"/>
          <w:color w:val="000000"/>
        </w:rPr>
        <w:t>Topilsky</w:t>
      </w:r>
      <w:proofErr w:type="spellEnd"/>
      <w:r w:rsidRPr="00972BE7">
        <w:rPr>
          <w:rFonts w:ascii="Arial" w:eastAsia="Arial" w:hAnsi="Arial" w:cs="Arial"/>
          <w:color w:val="000000"/>
        </w:rPr>
        <w:t xml:space="preserve"> Y, Suri R, Enríquez-</w:t>
      </w:r>
      <w:proofErr w:type="spellStart"/>
      <w:r w:rsidRPr="00972BE7">
        <w:rPr>
          <w:rFonts w:ascii="Arial" w:eastAsia="Arial" w:hAnsi="Arial" w:cs="Arial"/>
          <w:color w:val="000000"/>
        </w:rPr>
        <w:t>Sarano</w:t>
      </w:r>
      <w:proofErr w:type="spellEnd"/>
      <w:r w:rsidRPr="00972BE7">
        <w:rPr>
          <w:rFonts w:ascii="Arial" w:eastAsia="Arial" w:hAnsi="Arial" w:cs="Arial"/>
          <w:color w:val="000000"/>
        </w:rPr>
        <w:t xml:space="preserve"> M. Avances en el tratamiento de la insuficiencia mitral grave. </w:t>
      </w:r>
      <w:proofErr w:type="spellStart"/>
      <w:r w:rsidRPr="00972BE7">
        <w:rPr>
          <w:rFonts w:ascii="Arial" w:eastAsia="Arial" w:hAnsi="Arial" w:cs="Arial"/>
          <w:color w:val="000000"/>
        </w:rPr>
        <w:t>RevEspCardiol</w:t>
      </w:r>
      <w:proofErr w:type="spellEnd"/>
      <w:r w:rsidRPr="00972BE7">
        <w:rPr>
          <w:rFonts w:ascii="Arial" w:eastAsia="Arial" w:hAnsi="Arial" w:cs="Arial"/>
          <w:color w:val="000000"/>
        </w:rPr>
        <w:t>. 2010; 63:820-31.</w:t>
      </w:r>
    </w:p>
    <w:p w:rsidR="00F254D6" w:rsidRPr="00972BE7" w:rsidRDefault="00E01129" w:rsidP="00593074">
      <w:pPr>
        <w:numPr>
          <w:ilvl w:val="0"/>
          <w:numId w:val="2"/>
        </w:numPr>
        <w:pBdr>
          <w:top w:val="nil"/>
          <w:left w:val="nil"/>
          <w:bottom w:val="nil"/>
          <w:right w:val="nil"/>
          <w:between w:val="nil"/>
        </w:pBdr>
        <w:spacing w:after="0" w:line="360" w:lineRule="auto"/>
        <w:jc w:val="both"/>
        <w:rPr>
          <w:rFonts w:ascii="Arial" w:eastAsia="Arial" w:hAnsi="Arial" w:cs="Arial"/>
          <w:color w:val="000000"/>
        </w:rPr>
      </w:pPr>
      <w:proofErr w:type="spellStart"/>
      <w:r w:rsidRPr="00972BE7">
        <w:rPr>
          <w:rFonts w:ascii="Arial" w:eastAsia="Arial" w:hAnsi="Arial" w:cs="Arial"/>
          <w:color w:val="000000"/>
          <w:lang w:val="en-US"/>
        </w:rPr>
        <w:t>Buckberg</w:t>
      </w:r>
      <w:proofErr w:type="spellEnd"/>
      <w:r w:rsidRPr="00972BE7">
        <w:rPr>
          <w:rFonts w:ascii="Arial" w:eastAsia="Arial" w:hAnsi="Arial" w:cs="Arial"/>
          <w:color w:val="000000"/>
          <w:lang w:val="en-US"/>
        </w:rPr>
        <w:t xml:space="preserve"> GD, </w:t>
      </w:r>
      <w:proofErr w:type="spellStart"/>
      <w:r w:rsidRPr="00972BE7">
        <w:rPr>
          <w:rFonts w:ascii="Arial" w:eastAsia="Arial" w:hAnsi="Arial" w:cs="Arial"/>
          <w:color w:val="000000"/>
          <w:lang w:val="en-US"/>
        </w:rPr>
        <w:t>Athanasuleas</w:t>
      </w:r>
      <w:proofErr w:type="spellEnd"/>
      <w:r w:rsidRPr="00972BE7">
        <w:rPr>
          <w:rFonts w:ascii="Arial" w:eastAsia="Arial" w:hAnsi="Arial" w:cs="Arial"/>
          <w:color w:val="000000"/>
          <w:lang w:val="en-US"/>
        </w:rPr>
        <w:t xml:space="preserve"> CL. Left ventricular dysfunction after mitral valve repair: predetermined or </w:t>
      </w:r>
      <w:proofErr w:type="gramStart"/>
      <w:r w:rsidRPr="00972BE7">
        <w:rPr>
          <w:rFonts w:ascii="Arial" w:eastAsia="Arial" w:hAnsi="Arial" w:cs="Arial"/>
          <w:color w:val="000000"/>
          <w:lang w:val="en-US"/>
        </w:rPr>
        <w:t>caused?.</w:t>
      </w:r>
      <w:proofErr w:type="gramEnd"/>
      <w:r w:rsidRPr="00972BE7">
        <w:rPr>
          <w:rFonts w:ascii="Arial" w:eastAsia="Arial" w:hAnsi="Arial" w:cs="Arial"/>
          <w:color w:val="000000"/>
          <w:lang w:val="en-US"/>
        </w:rPr>
        <w:t xml:space="preserve"> </w:t>
      </w:r>
      <w:r w:rsidRPr="00972BE7">
        <w:rPr>
          <w:rFonts w:ascii="Arial" w:eastAsia="Arial" w:hAnsi="Arial" w:cs="Arial"/>
          <w:color w:val="000000"/>
        </w:rPr>
        <w:t xml:space="preserve">J </w:t>
      </w:r>
      <w:proofErr w:type="spellStart"/>
      <w:r w:rsidRPr="00972BE7">
        <w:rPr>
          <w:rFonts w:ascii="Arial" w:eastAsia="Arial" w:hAnsi="Arial" w:cs="Arial"/>
          <w:color w:val="000000"/>
        </w:rPr>
        <w:t>ThoracCardiovasc</w:t>
      </w:r>
      <w:proofErr w:type="spellEnd"/>
      <w:r w:rsidRPr="00972BE7">
        <w:rPr>
          <w:rFonts w:ascii="Arial" w:eastAsia="Arial" w:hAnsi="Arial" w:cs="Arial"/>
          <w:color w:val="000000"/>
        </w:rPr>
        <w:t xml:space="preserve"> </w:t>
      </w:r>
      <w:proofErr w:type="spellStart"/>
      <w:r w:rsidRPr="00972BE7">
        <w:rPr>
          <w:rFonts w:ascii="Arial" w:eastAsia="Arial" w:hAnsi="Arial" w:cs="Arial"/>
          <w:color w:val="000000"/>
        </w:rPr>
        <w:t>Surg</w:t>
      </w:r>
      <w:proofErr w:type="spellEnd"/>
      <w:r w:rsidRPr="00972BE7">
        <w:rPr>
          <w:rFonts w:ascii="Arial" w:eastAsia="Arial" w:hAnsi="Arial" w:cs="Arial"/>
          <w:color w:val="000000"/>
        </w:rPr>
        <w:t>. 2015; 149:940.</w:t>
      </w:r>
    </w:p>
    <w:p w:rsidR="00F254D6" w:rsidRDefault="00E01129" w:rsidP="00593074">
      <w:pPr>
        <w:numPr>
          <w:ilvl w:val="0"/>
          <w:numId w:val="2"/>
        </w:numPr>
        <w:pBdr>
          <w:top w:val="nil"/>
          <w:left w:val="nil"/>
          <w:bottom w:val="nil"/>
          <w:right w:val="nil"/>
          <w:between w:val="nil"/>
        </w:pBdr>
        <w:spacing w:after="0" w:line="360" w:lineRule="auto"/>
        <w:jc w:val="both"/>
        <w:rPr>
          <w:rFonts w:ascii="Arial" w:eastAsia="Arial" w:hAnsi="Arial" w:cs="Arial"/>
          <w:color w:val="000000"/>
        </w:rPr>
      </w:pPr>
      <w:r w:rsidRPr="00972BE7">
        <w:rPr>
          <w:rFonts w:ascii="Arial" w:eastAsia="Arial" w:hAnsi="Arial" w:cs="Arial"/>
          <w:color w:val="000000"/>
        </w:rPr>
        <w:t xml:space="preserve">Chan V, </w:t>
      </w:r>
      <w:proofErr w:type="spellStart"/>
      <w:r w:rsidRPr="00972BE7">
        <w:rPr>
          <w:rFonts w:ascii="Arial" w:eastAsia="Arial" w:hAnsi="Arial" w:cs="Arial"/>
          <w:color w:val="000000"/>
        </w:rPr>
        <w:t>Ruel</w:t>
      </w:r>
      <w:proofErr w:type="spellEnd"/>
      <w:r w:rsidRPr="00972BE7">
        <w:rPr>
          <w:rFonts w:ascii="Arial" w:eastAsia="Arial" w:hAnsi="Arial" w:cs="Arial"/>
          <w:color w:val="000000"/>
        </w:rPr>
        <w:t xml:space="preserve"> M, </w:t>
      </w:r>
      <w:proofErr w:type="spellStart"/>
      <w:r w:rsidRPr="00972BE7">
        <w:rPr>
          <w:rFonts w:ascii="Arial" w:eastAsia="Arial" w:hAnsi="Arial" w:cs="Arial"/>
          <w:color w:val="000000"/>
        </w:rPr>
        <w:t>Elmistekawy</w:t>
      </w:r>
      <w:proofErr w:type="spellEnd"/>
      <w:r w:rsidRPr="00972BE7">
        <w:rPr>
          <w:rFonts w:ascii="Arial" w:eastAsia="Arial" w:hAnsi="Arial" w:cs="Arial"/>
          <w:color w:val="000000"/>
        </w:rPr>
        <w:t xml:space="preserve"> E, Mesana TG. </w:t>
      </w:r>
      <w:r w:rsidRPr="00972BE7">
        <w:rPr>
          <w:rFonts w:ascii="Arial" w:eastAsia="Arial" w:hAnsi="Arial" w:cs="Arial"/>
          <w:color w:val="000000"/>
          <w:lang w:val="en-US"/>
        </w:rPr>
        <w:t xml:space="preserve">Determinants of left ventricular dysfunction after repair of chronic asymptomatic mitral regurgitation. </w:t>
      </w:r>
      <w:r w:rsidRPr="00972BE7">
        <w:rPr>
          <w:rFonts w:ascii="Arial" w:eastAsia="Arial" w:hAnsi="Arial" w:cs="Arial"/>
          <w:color w:val="000000"/>
        </w:rPr>
        <w:t xml:space="preserve">Ann </w:t>
      </w:r>
      <w:proofErr w:type="spellStart"/>
      <w:r w:rsidRPr="00972BE7">
        <w:rPr>
          <w:rFonts w:ascii="Arial" w:eastAsia="Arial" w:hAnsi="Arial" w:cs="Arial"/>
          <w:color w:val="000000"/>
        </w:rPr>
        <w:t>Thorac</w:t>
      </w:r>
      <w:proofErr w:type="spellEnd"/>
      <w:r w:rsidRPr="00972BE7">
        <w:rPr>
          <w:rFonts w:ascii="Arial" w:eastAsia="Arial" w:hAnsi="Arial" w:cs="Arial"/>
          <w:color w:val="000000"/>
        </w:rPr>
        <w:t xml:space="preserve"> </w:t>
      </w:r>
      <w:proofErr w:type="spellStart"/>
      <w:r w:rsidRPr="00972BE7">
        <w:rPr>
          <w:rFonts w:ascii="Arial" w:eastAsia="Arial" w:hAnsi="Arial" w:cs="Arial"/>
          <w:color w:val="000000"/>
        </w:rPr>
        <w:t>Surg</w:t>
      </w:r>
      <w:proofErr w:type="spellEnd"/>
      <w:r w:rsidRPr="00972BE7">
        <w:rPr>
          <w:rFonts w:ascii="Arial" w:eastAsia="Arial" w:hAnsi="Arial" w:cs="Arial"/>
          <w:color w:val="000000"/>
        </w:rPr>
        <w:t>. 2015; 99:38-42.</w:t>
      </w:r>
    </w:p>
    <w:p w:rsidR="00090646" w:rsidRPr="00090646" w:rsidRDefault="00090646" w:rsidP="00090646">
      <w:pPr>
        <w:numPr>
          <w:ilvl w:val="0"/>
          <w:numId w:val="2"/>
        </w:numPr>
        <w:pBdr>
          <w:top w:val="nil"/>
          <w:left w:val="nil"/>
          <w:bottom w:val="nil"/>
          <w:right w:val="nil"/>
          <w:between w:val="nil"/>
        </w:pBdr>
        <w:spacing w:after="0" w:line="360" w:lineRule="auto"/>
        <w:jc w:val="both"/>
        <w:rPr>
          <w:rFonts w:ascii="Arial" w:eastAsia="Arial" w:hAnsi="Arial" w:cs="Arial"/>
          <w:color w:val="000000"/>
        </w:rPr>
      </w:pPr>
      <w:r w:rsidRPr="00090646">
        <w:rPr>
          <w:rFonts w:ascii="Arial" w:eastAsia="Arial" w:hAnsi="Arial" w:cs="Arial"/>
          <w:color w:val="000000"/>
          <w:lang w:val="en-US"/>
        </w:rPr>
        <w:t xml:space="preserve">Park YS, Park JH, </w:t>
      </w:r>
      <w:proofErr w:type="spellStart"/>
      <w:r w:rsidRPr="00090646">
        <w:rPr>
          <w:rFonts w:ascii="Arial" w:eastAsia="Arial" w:hAnsi="Arial" w:cs="Arial"/>
          <w:color w:val="000000"/>
          <w:lang w:val="en-US"/>
        </w:rPr>
        <w:t>Ahn</w:t>
      </w:r>
      <w:proofErr w:type="spellEnd"/>
      <w:r w:rsidRPr="00090646">
        <w:rPr>
          <w:rFonts w:ascii="Arial" w:eastAsia="Arial" w:hAnsi="Arial" w:cs="Arial"/>
          <w:color w:val="000000"/>
          <w:lang w:val="en-US"/>
        </w:rPr>
        <w:t xml:space="preserve"> KT, Jang WI, Park HS, Kim JH, et al. Usefulness of mitral annular systolic velocity in the detection of left ventricular systolic dysfunction: comparison with </w:t>
      </w:r>
      <w:proofErr w:type="gramStart"/>
      <w:r w:rsidRPr="00090646">
        <w:rPr>
          <w:rFonts w:ascii="Arial" w:eastAsia="Arial" w:hAnsi="Arial" w:cs="Arial"/>
          <w:color w:val="000000"/>
          <w:lang w:val="en-US"/>
        </w:rPr>
        <w:t>three dimensional</w:t>
      </w:r>
      <w:proofErr w:type="gramEnd"/>
      <w:r w:rsidRPr="00090646">
        <w:rPr>
          <w:rFonts w:ascii="Arial" w:eastAsia="Arial" w:hAnsi="Arial" w:cs="Arial"/>
          <w:color w:val="000000"/>
          <w:lang w:val="en-US"/>
        </w:rPr>
        <w:t xml:space="preserve"> echocardiographic data. </w:t>
      </w:r>
      <w:r w:rsidRPr="00090646">
        <w:rPr>
          <w:rFonts w:ascii="Arial" w:eastAsia="Arial" w:hAnsi="Arial" w:cs="Arial"/>
          <w:color w:val="000000"/>
        </w:rPr>
        <w:t xml:space="preserve">J </w:t>
      </w:r>
      <w:proofErr w:type="spellStart"/>
      <w:r w:rsidRPr="00090646">
        <w:rPr>
          <w:rFonts w:ascii="Arial" w:eastAsia="Arial" w:hAnsi="Arial" w:cs="Arial"/>
          <w:color w:val="000000"/>
        </w:rPr>
        <w:t>Cardiovasc</w:t>
      </w:r>
      <w:proofErr w:type="spellEnd"/>
      <w:r w:rsidRPr="00090646">
        <w:rPr>
          <w:rFonts w:ascii="Arial" w:eastAsia="Arial" w:hAnsi="Arial" w:cs="Arial"/>
          <w:color w:val="000000"/>
        </w:rPr>
        <w:t xml:space="preserve"> </w:t>
      </w:r>
      <w:proofErr w:type="spellStart"/>
      <w:r w:rsidRPr="00090646">
        <w:rPr>
          <w:rFonts w:ascii="Arial" w:eastAsia="Arial" w:hAnsi="Arial" w:cs="Arial"/>
          <w:color w:val="000000"/>
        </w:rPr>
        <w:t>Ultrasound</w:t>
      </w:r>
      <w:proofErr w:type="spellEnd"/>
      <w:r w:rsidRPr="00090646">
        <w:rPr>
          <w:rFonts w:ascii="Arial" w:eastAsia="Arial" w:hAnsi="Arial" w:cs="Arial"/>
          <w:color w:val="000000"/>
        </w:rPr>
        <w:t>. 2010; 18:1-5.</w:t>
      </w:r>
    </w:p>
    <w:p w:rsidR="00090646" w:rsidRPr="00090646" w:rsidRDefault="00090646" w:rsidP="00090646">
      <w:pPr>
        <w:numPr>
          <w:ilvl w:val="0"/>
          <w:numId w:val="2"/>
        </w:numPr>
        <w:pBdr>
          <w:top w:val="nil"/>
          <w:left w:val="nil"/>
          <w:bottom w:val="nil"/>
          <w:right w:val="nil"/>
          <w:between w:val="nil"/>
        </w:pBdr>
        <w:spacing w:after="0" w:line="360" w:lineRule="auto"/>
        <w:jc w:val="both"/>
        <w:rPr>
          <w:rFonts w:ascii="Arial" w:eastAsia="Arial" w:hAnsi="Arial" w:cs="Arial"/>
          <w:color w:val="000000"/>
        </w:rPr>
      </w:pPr>
      <w:proofErr w:type="spellStart"/>
      <w:r w:rsidRPr="00090646">
        <w:rPr>
          <w:rFonts w:ascii="Arial" w:eastAsia="Arial" w:hAnsi="Arial" w:cs="Arial"/>
          <w:color w:val="000000"/>
          <w:lang w:val="en-US"/>
        </w:rPr>
        <w:t>Yurdakul</w:t>
      </w:r>
      <w:proofErr w:type="spellEnd"/>
      <w:r w:rsidRPr="00090646">
        <w:rPr>
          <w:rFonts w:ascii="Arial" w:eastAsia="Arial" w:hAnsi="Arial" w:cs="Arial"/>
          <w:color w:val="000000"/>
          <w:lang w:val="en-US"/>
        </w:rPr>
        <w:t xml:space="preserve"> S, </w:t>
      </w:r>
      <w:proofErr w:type="spellStart"/>
      <w:r w:rsidRPr="00090646">
        <w:rPr>
          <w:rFonts w:ascii="Arial" w:eastAsia="Arial" w:hAnsi="Arial" w:cs="Arial"/>
          <w:color w:val="000000"/>
          <w:lang w:val="en-US"/>
        </w:rPr>
        <w:t>Tayyareci</w:t>
      </w:r>
      <w:proofErr w:type="spellEnd"/>
      <w:r w:rsidRPr="00090646">
        <w:rPr>
          <w:rFonts w:ascii="Arial" w:eastAsia="Arial" w:hAnsi="Arial" w:cs="Arial"/>
          <w:color w:val="000000"/>
          <w:lang w:val="en-US"/>
        </w:rPr>
        <w:t xml:space="preserve"> Y, </w:t>
      </w:r>
      <w:proofErr w:type="spellStart"/>
      <w:r w:rsidRPr="00090646">
        <w:rPr>
          <w:rFonts w:ascii="Arial" w:eastAsia="Arial" w:hAnsi="Arial" w:cs="Arial"/>
          <w:color w:val="000000"/>
          <w:lang w:val="en-US"/>
        </w:rPr>
        <w:t>Yildirimturk</w:t>
      </w:r>
      <w:proofErr w:type="spellEnd"/>
      <w:r w:rsidRPr="00090646">
        <w:rPr>
          <w:rFonts w:ascii="Arial" w:eastAsia="Arial" w:hAnsi="Arial" w:cs="Arial"/>
          <w:color w:val="000000"/>
          <w:lang w:val="en-US"/>
        </w:rPr>
        <w:t xml:space="preserve"> O, </w:t>
      </w:r>
      <w:proofErr w:type="spellStart"/>
      <w:r w:rsidRPr="00090646">
        <w:rPr>
          <w:rFonts w:ascii="Arial" w:eastAsia="Arial" w:hAnsi="Arial" w:cs="Arial"/>
          <w:color w:val="000000"/>
          <w:lang w:val="en-US"/>
        </w:rPr>
        <w:t>Memic</w:t>
      </w:r>
      <w:proofErr w:type="spellEnd"/>
      <w:r w:rsidRPr="00090646">
        <w:rPr>
          <w:rFonts w:ascii="Arial" w:eastAsia="Arial" w:hAnsi="Arial" w:cs="Arial"/>
          <w:color w:val="000000"/>
          <w:lang w:val="en-US"/>
        </w:rPr>
        <w:t xml:space="preserve"> K, </w:t>
      </w:r>
      <w:proofErr w:type="spellStart"/>
      <w:r w:rsidRPr="00090646">
        <w:rPr>
          <w:rFonts w:ascii="Arial" w:eastAsia="Arial" w:hAnsi="Arial" w:cs="Arial"/>
          <w:color w:val="000000"/>
          <w:lang w:val="en-US"/>
        </w:rPr>
        <w:t>Aytekin</w:t>
      </w:r>
      <w:proofErr w:type="spellEnd"/>
      <w:r w:rsidRPr="00090646">
        <w:rPr>
          <w:rFonts w:ascii="Arial" w:eastAsia="Arial" w:hAnsi="Arial" w:cs="Arial"/>
          <w:color w:val="000000"/>
          <w:lang w:val="en-US"/>
        </w:rPr>
        <w:t xml:space="preserve"> V, </w:t>
      </w:r>
      <w:proofErr w:type="spellStart"/>
      <w:r w:rsidRPr="00090646">
        <w:rPr>
          <w:rFonts w:ascii="Arial" w:eastAsia="Arial" w:hAnsi="Arial" w:cs="Arial"/>
          <w:color w:val="000000"/>
          <w:lang w:val="en-US"/>
        </w:rPr>
        <w:t>Aytekin</w:t>
      </w:r>
      <w:proofErr w:type="spellEnd"/>
      <w:r w:rsidRPr="00090646">
        <w:rPr>
          <w:rFonts w:ascii="Arial" w:eastAsia="Arial" w:hAnsi="Arial" w:cs="Arial"/>
          <w:color w:val="000000"/>
          <w:lang w:val="en-US"/>
        </w:rPr>
        <w:t xml:space="preserve"> S. Subclinical Left Ventricular Dysfunction in Asymptomatic Chronic Mitral Regurgitation Patients with Normal Ejection Fraction: A Combined Tissue Doppler and Velocity Vector Imaging</w:t>
      </w:r>
      <w:r w:rsidRPr="00090646">
        <w:rPr>
          <w:rFonts w:ascii="Cambria Math" w:eastAsia="Arial" w:hAnsi="Cambria Math" w:cs="Cambria Math"/>
          <w:color w:val="000000"/>
          <w:lang w:val="en-US"/>
        </w:rPr>
        <w:t>‐</w:t>
      </w:r>
      <w:r w:rsidRPr="00090646">
        <w:rPr>
          <w:rFonts w:ascii="Arial" w:eastAsia="Arial" w:hAnsi="Arial" w:cs="Arial"/>
          <w:color w:val="000000"/>
          <w:lang w:val="en-US"/>
        </w:rPr>
        <w:t xml:space="preserve">Based Study. </w:t>
      </w:r>
      <w:proofErr w:type="spellStart"/>
      <w:r w:rsidRPr="00090646">
        <w:rPr>
          <w:rFonts w:ascii="Arial" w:eastAsia="Arial" w:hAnsi="Arial" w:cs="Arial"/>
          <w:color w:val="000000"/>
        </w:rPr>
        <w:t>Echocardiography</w:t>
      </w:r>
      <w:proofErr w:type="spellEnd"/>
      <w:r w:rsidRPr="00090646">
        <w:rPr>
          <w:rFonts w:ascii="Arial" w:eastAsia="Arial" w:hAnsi="Arial" w:cs="Arial"/>
          <w:color w:val="000000"/>
        </w:rPr>
        <w:t>. 2011; 28:877-85.</w:t>
      </w:r>
    </w:p>
    <w:p w:rsidR="00090646" w:rsidRPr="00090646" w:rsidRDefault="00090646" w:rsidP="00090646">
      <w:pPr>
        <w:numPr>
          <w:ilvl w:val="0"/>
          <w:numId w:val="2"/>
        </w:numPr>
        <w:pBdr>
          <w:top w:val="nil"/>
          <w:left w:val="nil"/>
          <w:bottom w:val="nil"/>
          <w:right w:val="nil"/>
          <w:between w:val="nil"/>
        </w:pBdr>
        <w:spacing w:after="0" w:line="360" w:lineRule="auto"/>
        <w:jc w:val="both"/>
        <w:rPr>
          <w:rFonts w:ascii="Arial" w:eastAsia="Arial" w:hAnsi="Arial" w:cs="Arial"/>
          <w:color w:val="000000"/>
        </w:rPr>
      </w:pPr>
      <w:proofErr w:type="spellStart"/>
      <w:r w:rsidRPr="00090646">
        <w:rPr>
          <w:rFonts w:ascii="Arial" w:eastAsia="Arial" w:hAnsi="Arial" w:cs="Arial"/>
          <w:color w:val="000000"/>
        </w:rPr>
        <w:t>Suehiro</w:t>
      </w:r>
      <w:proofErr w:type="spellEnd"/>
      <w:r w:rsidRPr="00090646">
        <w:rPr>
          <w:rFonts w:ascii="Arial" w:eastAsia="Arial" w:hAnsi="Arial" w:cs="Arial"/>
          <w:color w:val="000000"/>
        </w:rPr>
        <w:t xml:space="preserve"> K, Tanaka K, Matsuura T, </w:t>
      </w:r>
      <w:proofErr w:type="spellStart"/>
      <w:r w:rsidRPr="00090646">
        <w:rPr>
          <w:rFonts w:ascii="Arial" w:eastAsia="Arial" w:hAnsi="Arial" w:cs="Arial"/>
          <w:color w:val="000000"/>
        </w:rPr>
        <w:t>Funao</w:t>
      </w:r>
      <w:proofErr w:type="spellEnd"/>
      <w:r w:rsidRPr="00090646">
        <w:rPr>
          <w:rFonts w:ascii="Arial" w:eastAsia="Arial" w:hAnsi="Arial" w:cs="Arial"/>
          <w:color w:val="000000"/>
        </w:rPr>
        <w:t xml:space="preserve"> T, </w:t>
      </w:r>
      <w:proofErr w:type="spellStart"/>
      <w:r w:rsidRPr="00090646">
        <w:rPr>
          <w:rFonts w:ascii="Arial" w:eastAsia="Arial" w:hAnsi="Arial" w:cs="Arial"/>
          <w:color w:val="000000"/>
        </w:rPr>
        <w:t>Yamada</w:t>
      </w:r>
      <w:proofErr w:type="spellEnd"/>
      <w:r w:rsidRPr="00090646">
        <w:rPr>
          <w:rFonts w:ascii="Arial" w:eastAsia="Arial" w:hAnsi="Arial" w:cs="Arial"/>
          <w:color w:val="000000"/>
        </w:rPr>
        <w:t xml:space="preserve"> T, Mori T, et al. </w:t>
      </w:r>
      <w:r w:rsidRPr="00090646">
        <w:rPr>
          <w:rFonts w:ascii="Arial" w:eastAsia="Arial" w:hAnsi="Arial" w:cs="Arial"/>
          <w:color w:val="000000"/>
          <w:lang w:val="en-US"/>
        </w:rPr>
        <w:t xml:space="preserve">Detection of Left Ventricular Dysfunction Using Early Diastolic Mitral Annular Velocity in Patients Undergoing Mitral Valve Repair for Mitral Regurgitation. </w:t>
      </w:r>
      <w:r w:rsidRPr="00090646">
        <w:rPr>
          <w:rFonts w:ascii="Arial" w:eastAsia="Arial" w:hAnsi="Arial" w:cs="Arial"/>
          <w:color w:val="000000"/>
        </w:rPr>
        <w:t xml:space="preserve">J </w:t>
      </w:r>
      <w:proofErr w:type="spellStart"/>
      <w:r w:rsidRPr="00090646">
        <w:rPr>
          <w:rFonts w:ascii="Arial" w:eastAsia="Arial" w:hAnsi="Arial" w:cs="Arial"/>
          <w:color w:val="000000"/>
        </w:rPr>
        <w:t>CardiothoracVascAnesth</w:t>
      </w:r>
      <w:proofErr w:type="spellEnd"/>
      <w:r w:rsidRPr="00090646">
        <w:rPr>
          <w:rFonts w:ascii="Arial" w:eastAsia="Arial" w:hAnsi="Arial" w:cs="Arial"/>
          <w:color w:val="000000"/>
        </w:rPr>
        <w:t xml:space="preserve">. </w:t>
      </w:r>
      <w:proofErr w:type="gramStart"/>
      <w:r w:rsidRPr="00090646">
        <w:rPr>
          <w:rFonts w:ascii="Arial" w:eastAsia="Arial" w:hAnsi="Arial" w:cs="Arial"/>
          <w:color w:val="000000"/>
        </w:rPr>
        <w:t>2014;28:25</w:t>
      </w:r>
      <w:proofErr w:type="gramEnd"/>
      <w:r w:rsidRPr="00090646">
        <w:rPr>
          <w:rFonts w:ascii="Arial" w:eastAsia="Arial" w:hAnsi="Arial" w:cs="Arial"/>
          <w:color w:val="000000"/>
        </w:rPr>
        <w:t>-30.</w:t>
      </w:r>
    </w:p>
    <w:p w:rsidR="00090646" w:rsidRPr="002166A2" w:rsidRDefault="00090646" w:rsidP="00D06CE5">
      <w:pPr>
        <w:pStyle w:val="Prrafodelista"/>
        <w:numPr>
          <w:ilvl w:val="0"/>
          <w:numId w:val="2"/>
        </w:numPr>
        <w:pBdr>
          <w:top w:val="nil"/>
          <w:left w:val="nil"/>
          <w:bottom w:val="nil"/>
          <w:right w:val="nil"/>
          <w:between w:val="nil"/>
        </w:pBdr>
        <w:spacing w:after="0" w:line="360" w:lineRule="auto"/>
        <w:jc w:val="both"/>
        <w:rPr>
          <w:rFonts w:ascii="Arial" w:eastAsia="Arial" w:hAnsi="Arial" w:cs="Arial"/>
          <w:color w:val="000000"/>
        </w:rPr>
      </w:pPr>
      <w:r w:rsidRPr="002166A2">
        <w:rPr>
          <w:rFonts w:ascii="Arial" w:eastAsia="Arial" w:hAnsi="Arial" w:cs="Arial"/>
          <w:color w:val="000000"/>
          <w:lang w:val="en-US"/>
        </w:rPr>
        <w:t xml:space="preserve">Quintana E, Suri RM, </w:t>
      </w:r>
      <w:proofErr w:type="spellStart"/>
      <w:r w:rsidRPr="002166A2">
        <w:rPr>
          <w:rFonts w:ascii="Arial" w:eastAsia="Arial" w:hAnsi="Arial" w:cs="Arial"/>
          <w:color w:val="000000"/>
          <w:lang w:val="en-US"/>
        </w:rPr>
        <w:t>Thalji</w:t>
      </w:r>
      <w:proofErr w:type="spellEnd"/>
      <w:r w:rsidRPr="002166A2">
        <w:rPr>
          <w:rFonts w:ascii="Arial" w:eastAsia="Arial" w:hAnsi="Arial" w:cs="Arial"/>
          <w:color w:val="000000"/>
          <w:lang w:val="en-US"/>
        </w:rPr>
        <w:t xml:space="preserve"> NM, Daly RC, </w:t>
      </w:r>
      <w:proofErr w:type="spellStart"/>
      <w:r w:rsidRPr="002166A2">
        <w:rPr>
          <w:rFonts w:ascii="Arial" w:eastAsia="Arial" w:hAnsi="Arial" w:cs="Arial"/>
          <w:color w:val="000000"/>
          <w:lang w:val="en-US"/>
        </w:rPr>
        <w:t>Dearani</w:t>
      </w:r>
      <w:proofErr w:type="spellEnd"/>
      <w:r w:rsidRPr="002166A2">
        <w:rPr>
          <w:rFonts w:ascii="Arial" w:eastAsia="Arial" w:hAnsi="Arial" w:cs="Arial"/>
          <w:color w:val="000000"/>
          <w:lang w:val="en-US"/>
        </w:rPr>
        <w:t xml:space="preserve"> JA, Burkhart HM, et al. Left ventricular dysfunction after mitral valve repair—the fallacy of “normal” preoperative myocardial function. </w:t>
      </w:r>
      <w:r w:rsidRPr="002166A2">
        <w:rPr>
          <w:rFonts w:ascii="Arial" w:eastAsia="Arial" w:hAnsi="Arial" w:cs="Arial"/>
          <w:color w:val="000000"/>
        </w:rPr>
        <w:t xml:space="preserve">J </w:t>
      </w:r>
      <w:proofErr w:type="spellStart"/>
      <w:r w:rsidRPr="002166A2">
        <w:rPr>
          <w:rFonts w:ascii="Arial" w:eastAsia="Arial" w:hAnsi="Arial" w:cs="Arial"/>
          <w:color w:val="000000"/>
        </w:rPr>
        <w:t>ThoracCardiovasc</w:t>
      </w:r>
      <w:proofErr w:type="spellEnd"/>
      <w:r w:rsidRPr="002166A2">
        <w:rPr>
          <w:rFonts w:ascii="Arial" w:eastAsia="Arial" w:hAnsi="Arial" w:cs="Arial"/>
          <w:color w:val="000000"/>
        </w:rPr>
        <w:t xml:space="preserve"> </w:t>
      </w:r>
      <w:proofErr w:type="spellStart"/>
      <w:r w:rsidRPr="002166A2">
        <w:rPr>
          <w:rFonts w:ascii="Arial" w:eastAsia="Arial" w:hAnsi="Arial" w:cs="Arial"/>
          <w:color w:val="000000"/>
        </w:rPr>
        <w:t>Surg</w:t>
      </w:r>
      <w:proofErr w:type="spellEnd"/>
      <w:r w:rsidRPr="002166A2">
        <w:rPr>
          <w:rFonts w:ascii="Arial" w:eastAsia="Arial" w:hAnsi="Arial" w:cs="Arial"/>
          <w:color w:val="000000"/>
        </w:rPr>
        <w:t xml:space="preserve">. </w:t>
      </w:r>
      <w:proofErr w:type="gramStart"/>
      <w:r w:rsidRPr="002166A2">
        <w:rPr>
          <w:rFonts w:ascii="Arial" w:eastAsia="Arial" w:hAnsi="Arial" w:cs="Arial"/>
          <w:color w:val="000000"/>
        </w:rPr>
        <w:t>2014;148:2752</w:t>
      </w:r>
      <w:proofErr w:type="gramEnd"/>
      <w:r w:rsidRPr="002166A2">
        <w:rPr>
          <w:rFonts w:ascii="Arial" w:eastAsia="Arial" w:hAnsi="Arial" w:cs="Arial"/>
          <w:color w:val="000000"/>
        </w:rPr>
        <w:t>-62.</w:t>
      </w:r>
    </w:p>
    <w:p w:rsidR="00F254D6" w:rsidRDefault="00F254D6" w:rsidP="00593074">
      <w:pPr>
        <w:spacing w:after="0" w:line="360" w:lineRule="auto"/>
        <w:jc w:val="both"/>
        <w:rPr>
          <w:rFonts w:ascii="Arial" w:eastAsia="Arial" w:hAnsi="Arial" w:cs="Arial"/>
          <w:sz w:val="24"/>
          <w:szCs w:val="24"/>
        </w:rPr>
      </w:pPr>
    </w:p>
    <w:p w:rsidR="00F254D6" w:rsidRDefault="00F254D6" w:rsidP="00593074">
      <w:pPr>
        <w:spacing w:after="0" w:line="360" w:lineRule="auto"/>
        <w:jc w:val="both"/>
        <w:rPr>
          <w:rFonts w:ascii="Arial" w:eastAsia="Arial" w:hAnsi="Arial" w:cs="Arial"/>
          <w:sz w:val="24"/>
          <w:szCs w:val="24"/>
        </w:rPr>
      </w:pPr>
    </w:p>
    <w:p w:rsidR="00F254D6" w:rsidRDefault="00F254D6" w:rsidP="00593074">
      <w:pPr>
        <w:spacing w:after="0" w:line="360" w:lineRule="auto"/>
        <w:jc w:val="both"/>
        <w:rPr>
          <w:rFonts w:ascii="Arial" w:eastAsia="Arial" w:hAnsi="Arial" w:cs="Arial"/>
          <w:sz w:val="24"/>
          <w:szCs w:val="24"/>
        </w:rPr>
      </w:pPr>
    </w:p>
    <w:p w:rsidR="00F254D6" w:rsidRDefault="00F254D6" w:rsidP="00593074">
      <w:pPr>
        <w:spacing w:after="0" w:line="360" w:lineRule="auto"/>
        <w:jc w:val="both"/>
        <w:rPr>
          <w:rFonts w:ascii="Arial" w:eastAsia="Arial" w:hAnsi="Arial" w:cs="Arial"/>
          <w:sz w:val="24"/>
          <w:szCs w:val="24"/>
        </w:rPr>
      </w:pPr>
    </w:p>
    <w:p w:rsidR="00F254D6" w:rsidRDefault="00F254D6" w:rsidP="00593074">
      <w:pPr>
        <w:spacing w:after="0" w:line="360" w:lineRule="auto"/>
        <w:jc w:val="both"/>
        <w:rPr>
          <w:rFonts w:ascii="Arial" w:eastAsia="Arial" w:hAnsi="Arial" w:cs="Arial"/>
          <w:sz w:val="24"/>
          <w:szCs w:val="24"/>
        </w:rPr>
      </w:pPr>
    </w:p>
    <w:sectPr w:rsidR="00F254D6">
      <w:footerReference w:type="default" r:id="rId9"/>
      <w:pgSz w:w="11906" w:h="16838"/>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D14" w:rsidRDefault="00C30D14">
      <w:pPr>
        <w:spacing w:after="0" w:line="240" w:lineRule="auto"/>
      </w:pPr>
      <w:r>
        <w:separator/>
      </w:r>
    </w:p>
  </w:endnote>
  <w:endnote w:type="continuationSeparator" w:id="0">
    <w:p w:rsidR="00C30D14" w:rsidRDefault="00C3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129" w:rsidRDefault="00E01129">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166A2">
      <w:rPr>
        <w:noProof/>
        <w:color w:val="000000"/>
      </w:rPr>
      <w:t>10</w:t>
    </w:r>
    <w:r>
      <w:rPr>
        <w:color w:val="000000"/>
      </w:rPr>
      <w:fldChar w:fldCharType="end"/>
    </w:r>
  </w:p>
  <w:p w:rsidR="00E01129" w:rsidRDefault="00E01129">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D14" w:rsidRDefault="00C30D14">
      <w:pPr>
        <w:spacing w:after="0" w:line="240" w:lineRule="auto"/>
      </w:pPr>
      <w:r>
        <w:separator/>
      </w:r>
    </w:p>
  </w:footnote>
  <w:footnote w:type="continuationSeparator" w:id="0">
    <w:p w:rsidR="00C30D14" w:rsidRDefault="00C30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047A4"/>
    <w:multiLevelType w:val="hybridMultilevel"/>
    <w:tmpl w:val="09BCC8C0"/>
    <w:lvl w:ilvl="0" w:tplc="6CF68EC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45CD1A07"/>
    <w:multiLevelType w:val="multilevel"/>
    <w:tmpl w:val="48EAA236"/>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10C0923"/>
    <w:multiLevelType w:val="multilevel"/>
    <w:tmpl w:val="471EC5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374585B"/>
    <w:multiLevelType w:val="multilevel"/>
    <w:tmpl w:val="D102E52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76E50579"/>
    <w:multiLevelType w:val="hybridMultilevel"/>
    <w:tmpl w:val="09BCC8C0"/>
    <w:lvl w:ilvl="0" w:tplc="6CF68EC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D6"/>
    <w:rsid w:val="00090646"/>
    <w:rsid w:val="002166A2"/>
    <w:rsid w:val="00283C87"/>
    <w:rsid w:val="004B631F"/>
    <w:rsid w:val="00593074"/>
    <w:rsid w:val="006847AB"/>
    <w:rsid w:val="008E787E"/>
    <w:rsid w:val="00972BE7"/>
    <w:rsid w:val="009837DA"/>
    <w:rsid w:val="00C30D14"/>
    <w:rsid w:val="00E01129"/>
    <w:rsid w:val="00F2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0D29F-29FA-40FE-B1C1-F8CF9090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011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129"/>
    <w:rPr>
      <w:rFonts w:ascii="Segoe UI" w:hAnsi="Segoe UI" w:cs="Segoe UI"/>
      <w:sz w:val="18"/>
      <w:szCs w:val="18"/>
    </w:rPr>
  </w:style>
  <w:style w:type="paragraph" w:styleId="Prrafodelista">
    <w:name w:val="List Paragraph"/>
    <w:basedOn w:val="Normal"/>
    <w:uiPriority w:val="34"/>
    <w:qFormat/>
    <w:rsid w:val="00593074"/>
    <w:pPr>
      <w:ind w:left="720"/>
      <w:contextualSpacing/>
    </w:pPr>
  </w:style>
  <w:style w:type="character" w:styleId="Hipervnculo">
    <w:name w:val="Hyperlink"/>
    <w:basedOn w:val="Fuentedeprrafopredeter"/>
    <w:uiPriority w:val="99"/>
    <w:unhideWhenUsed/>
    <w:rsid w:val="00593074"/>
    <w:rPr>
      <w:color w:val="0000FF" w:themeColor="hyperlink"/>
      <w:u w:val="single"/>
    </w:rPr>
  </w:style>
  <w:style w:type="table" w:styleId="Tablaconcuadrcula">
    <w:name w:val="Table Grid"/>
    <w:basedOn w:val="Tablanormal"/>
    <w:uiPriority w:val="39"/>
    <w:rsid w:val="0097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valdesitos41@gmail.co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2999</Words>
  <Characters>16500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2</cp:revision>
  <dcterms:created xsi:type="dcterms:W3CDTF">2022-10-26T20:49:00Z</dcterms:created>
  <dcterms:modified xsi:type="dcterms:W3CDTF">2022-10-26T20:49:00Z</dcterms:modified>
</cp:coreProperties>
</file>