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463" w:rsidRPr="00650DAE" w:rsidRDefault="00EF0463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50DAE">
        <w:rPr>
          <w:rFonts w:ascii="Arial" w:hAnsi="Arial" w:cs="Arial"/>
          <w:b/>
          <w:sz w:val="24"/>
          <w:szCs w:val="24"/>
        </w:rPr>
        <w:t>MEDINTERN 2022</w:t>
      </w:r>
    </w:p>
    <w:p w:rsidR="00EF0463" w:rsidRPr="00650DAE" w:rsidRDefault="00EF0463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</w:p>
    <w:p w:rsidR="00C047CA" w:rsidRPr="00650DAE" w:rsidRDefault="00201F0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Centro de Investigaciones Medico Quirúrgicas</w:t>
      </w:r>
    </w:p>
    <w:p w:rsidR="00EF0463" w:rsidRPr="00650DAE" w:rsidRDefault="00EF0463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</w:p>
    <w:p w:rsidR="00201F0C" w:rsidRPr="00650DAE" w:rsidRDefault="00201F0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La Habana</w:t>
      </w:r>
    </w:p>
    <w:p w:rsidR="00EF0463" w:rsidRPr="00650DAE" w:rsidRDefault="00EF0463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</w:p>
    <w:p w:rsidR="00EF0463" w:rsidRPr="00650DAE" w:rsidRDefault="00201F0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Título:</w:t>
      </w:r>
    </w:p>
    <w:p w:rsidR="00201F0C" w:rsidRPr="00650DAE" w:rsidRDefault="00201F0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Dengue y COVID-19: Papel del clínico en su diagnóstico y manejo</w:t>
      </w:r>
    </w:p>
    <w:p w:rsidR="00EF0463" w:rsidRPr="00650DAE" w:rsidRDefault="00EF0463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</w:p>
    <w:p w:rsidR="00201F0C" w:rsidRPr="00650DAE" w:rsidRDefault="00201F0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Autoras:</w:t>
      </w:r>
    </w:p>
    <w:p w:rsidR="00201F0C" w:rsidRPr="00650DAE" w:rsidRDefault="00201F0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 xml:space="preserve">Dra. Mónica Galindo Estévez. Especialista en Medicina Interna. ORCID: </w:t>
      </w:r>
      <w:hyperlink r:id="rId8" w:history="1">
        <w:r w:rsidRPr="00650DAE">
          <w:rPr>
            <w:rStyle w:val="Hipervnculo"/>
            <w:rFonts w:ascii="Arial" w:hAnsi="Arial" w:cs="Arial"/>
            <w:b/>
            <w:sz w:val="24"/>
            <w:szCs w:val="24"/>
          </w:rPr>
          <w:t>https://orcid.org/0000-0001-5276-246X</w:t>
        </w:r>
      </w:hyperlink>
      <w:r w:rsidRPr="00650DAE">
        <w:rPr>
          <w:rFonts w:ascii="Arial" w:hAnsi="Arial" w:cs="Arial"/>
          <w:b/>
          <w:sz w:val="24"/>
          <w:szCs w:val="24"/>
        </w:rPr>
        <w:t xml:space="preserve">.  Centro de Investigaciones Médico-Quirúrgicas. Correo: </w:t>
      </w:r>
      <w:hyperlink r:id="rId9" w:history="1">
        <w:r w:rsidRPr="00650DAE">
          <w:rPr>
            <w:rStyle w:val="Hipervnculo"/>
            <w:rFonts w:ascii="Arial" w:hAnsi="Arial" w:cs="Arial"/>
            <w:b/>
            <w:sz w:val="24"/>
            <w:szCs w:val="24"/>
          </w:rPr>
          <w:t>monicagaes730@gmail.com</w:t>
        </w:r>
      </w:hyperlink>
      <w:r w:rsidRPr="00650DAE">
        <w:rPr>
          <w:rFonts w:ascii="Arial" w:hAnsi="Arial" w:cs="Arial"/>
          <w:b/>
          <w:sz w:val="24"/>
          <w:szCs w:val="24"/>
        </w:rPr>
        <w:t xml:space="preserve"> Teléfono: 54141260</w:t>
      </w:r>
    </w:p>
    <w:p w:rsidR="00BD05A8" w:rsidRPr="00650DAE" w:rsidRDefault="00BD05A8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Dra.</w:t>
      </w:r>
      <w:r w:rsidR="007B5B2A" w:rsidRPr="00650DAE">
        <w:rPr>
          <w:rFonts w:ascii="Arial" w:hAnsi="Arial" w:cs="Arial"/>
          <w:b/>
          <w:sz w:val="24"/>
          <w:szCs w:val="24"/>
        </w:rPr>
        <w:t xml:space="preserve"> MsC.</w:t>
      </w:r>
      <w:r w:rsidRPr="00650DAE">
        <w:rPr>
          <w:rFonts w:ascii="Arial" w:hAnsi="Arial" w:cs="Arial"/>
          <w:b/>
          <w:sz w:val="24"/>
          <w:szCs w:val="24"/>
        </w:rPr>
        <w:t xml:space="preserve"> Carmen Adela Brito Portuondo. Especialista en Medicina Interna. Profesora Auxiliar. ORCID: </w:t>
      </w:r>
      <w:hyperlink r:id="rId10" w:history="1">
        <w:r w:rsidRPr="00650DAE">
          <w:rPr>
            <w:rStyle w:val="Hipervnculo"/>
            <w:rFonts w:ascii="Arial" w:hAnsi="Arial" w:cs="Arial"/>
            <w:b/>
            <w:sz w:val="24"/>
            <w:szCs w:val="24"/>
          </w:rPr>
          <w:t>https://orcid.org/0000-0002-5431-2961</w:t>
        </w:r>
      </w:hyperlink>
      <w:r w:rsidRPr="00650DAE">
        <w:rPr>
          <w:rFonts w:ascii="Arial" w:hAnsi="Arial" w:cs="Arial"/>
          <w:b/>
          <w:sz w:val="24"/>
          <w:szCs w:val="24"/>
        </w:rPr>
        <w:t xml:space="preserve">.  Centro de Investigaciones Médico-Quirúrgicas. Correo: </w:t>
      </w:r>
      <w:hyperlink r:id="rId11" w:history="1">
        <w:r w:rsidR="007B5B2A" w:rsidRPr="00650DAE">
          <w:rPr>
            <w:rStyle w:val="Hipervnculo"/>
            <w:rFonts w:ascii="Arial" w:hAnsi="Arial" w:cs="Arial"/>
            <w:b/>
            <w:sz w:val="24"/>
            <w:szCs w:val="24"/>
          </w:rPr>
          <w:t>bcbportuondo@infomed.sld.cu</w:t>
        </w:r>
      </w:hyperlink>
      <w:r w:rsidR="007B5B2A" w:rsidRPr="00650DAE">
        <w:rPr>
          <w:rFonts w:ascii="Arial" w:hAnsi="Arial" w:cs="Arial"/>
          <w:b/>
          <w:sz w:val="24"/>
          <w:szCs w:val="24"/>
        </w:rPr>
        <w:t xml:space="preserve"> </w:t>
      </w:r>
      <w:r w:rsidRPr="00650DAE">
        <w:rPr>
          <w:rFonts w:ascii="Arial" w:hAnsi="Arial" w:cs="Arial"/>
          <w:b/>
          <w:sz w:val="24"/>
          <w:szCs w:val="24"/>
        </w:rPr>
        <w:t xml:space="preserve">Teléfono: </w:t>
      </w:r>
      <w:r w:rsidR="007B5B2A" w:rsidRPr="00650DAE">
        <w:rPr>
          <w:rFonts w:ascii="Arial" w:hAnsi="Arial" w:cs="Arial"/>
          <w:b/>
          <w:sz w:val="24"/>
          <w:szCs w:val="24"/>
        </w:rPr>
        <w:t>52531125</w:t>
      </w:r>
    </w:p>
    <w:p w:rsidR="001E6112" w:rsidRPr="00650DAE" w:rsidRDefault="001E611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br w:type="page"/>
      </w:r>
    </w:p>
    <w:p w:rsidR="00201F0C" w:rsidRPr="00650DAE" w:rsidRDefault="00DA7F7F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lastRenderedPageBreak/>
        <w:t>RESUMEN:</w:t>
      </w:r>
    </w:p>
    <w:p w:rsidR="001E6112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 xml:space="preserve">Introducción: </w:t>
      </w:r>
      <w:r w:rsidR="00260408" w:rsidRPr="00650DAE">
        <w:rPr>
          <w:rFonts w:ascii="Arial" w:hAnsi="Arial" w:cs="Arial"/>
          <w:sz w:val="24"/>
          <w:szCs w:val="24"/>
        </w:rPr>
        <w:t>El dengue es causad</w:t>
      </w:r>
      <w:r w:rsidR="00A26FAF" w:rsidRPr="00650DAE">
        <w:rPr>
          <w:rFonts w:ascii="Arial" w:hAnsi="Arial" w:cs="Arial"/>
          <w:sz w:val="24"/>
          <w:szCs w:val="24"/>
        </w:rPr>
        <w:t>o</w:t>
      </w:r>
      <w:r w:rsidR="00260408" w:rsidRPr="00650DAE">
        <w:rPr>
          <w:rFonts w:ascii="Arial" w:hAnsi="Arial" w:cs="Arial"/>
          <w:sz w:val="24"/>
          <w:szCs w:val="24"/>
        </w:rPr>
        <w:t xml:space="preserve"> por un flavivirus, cuenta con cuatro serotipos. La COVID-19, inició su trasmisión en 2019, es un coronavirus  con alta transmisibilidad. En las zonas endémicas para dengue, la llegada del SARS-CoV-2 representó un gran reto para diagnosticar los cuadros febriles iniciales.</w:t>
      </w:r>
    </w:p>
    <w:p w:rsidR="00C15032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 xml:space="preserve">Objetivos: </w:t>
      </w:r>
      <w:r w:rsidR="001858DC" w:rsidRPr="00650DAE">
        <w:rPr>
          <w:rFonts w:ascii="Arial" w:hAnsi="Arial" w:cs="Arial"/>
          <w:sz w:val="24"/>
          <w:szCs w:val="24"/>
        </w:rPr>
        <w:t>Describir el cuadro clínico de las infecciones por los virus del dengue y Sars Cov-2, así como la conducta a seguir por los clínicos para su diagnóstico</w:t>
      </w:r>
      <w:r w:rsidR="007B1DBE" w:rsidRPr="00650DAE">
        <w:rPr>
          <w:rFonts w:ascii="Arial" w:hAnsi="Arial" w:cs="Arial"/>
          <w:sz w:val="24"/>
          <w:szCs w:val="24"/>
        </w:rPr>
        <w:t xml:space="preserve">, </w:t>
      </w:r>
      <w:r w:rsidR="001858DC" w:rsidRPr="00650DAE">
        <w:rPr>
          <w:rFonts w:ascii="Arial" w:hAnsi="Arial" w:cs="Arial"/>
          <w:sz w:val="24"/>
          <w:szCs w:val="24"/>
        </w:rPr>
        <w:t>pronóstico</w:t>
      </w:r>
      <w:r w:rsidR="007B1DBE" w:rsidRPr="00650DAE">
        <w:rPr>
          <w:rFonts w:ascii="Arial" w:hAnsi="Arial" w:cs="Arial"/>
          <w:sz w:val="24"/>
          <w:szCs w:val="24"/>
        </w:rPr>
        <w:t xml:space="preserve"> y </w:t>
      </w:r>
      <w:r w:rsidR="001858DC" w:rsidRPr="00650DAE">
        <w:rPr>
          <w:rFonts w:ascii="Arial" w:hAnsi="Arial" w:cs="Arial"/>
          <w:sz w:val="24"/>
          <w:szCs w:val="24"/>
        </w:rPr>
        <w:t xml:space="preserve">la situación </w:t>
      </w:r>
      <w:r w:rsidR="007B1DBE" w:rsidRPr="00650DAE">
        <w:rPr>
          <w:rFonts w:ascii="Arial" w:hAnsi="Arial" w:cs="Arial"/>
          <w:sz w:val="24"/>
          <w:szCs w:val="24"/>
        </w:rPr>
        <w:t>actual en cuanto a vacunación.</w:t>
      </w:r>
    </w:p>
    <w:p w:rsidR="00C15032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 xml:space="preserve">Material y Métodos: Se utilizó el motor de búsqueda Google académico y se consultaron artículos de libre acceso en las bases de datos de </w:t>
      </w:r>
      <w:r w:rsidR="00260408" w:rsidRPr="00650DAE">
        <w:rPr>
          <w:rFonts w:ascii="Arial" w:hAnsi="Arial" w:cs="Arial"/>
          <w:sz w:val="24"/>
          <w:szCs w:val="24"/>
        </w:rPr>
        <w:t>PubMed/Medline, Scielo y Scopus</w:t>
      </w:r>
      <w:r w:rsidRPr="00650DAE">
        <w:rPr>
          <w:rFonts w:ascii="Arial" w:hAnsi="Arial" w:cs="Arial"/>
          <w:sz w:val="24"/>
          <w:szCs w:val="24"/>
        </w:rPr>
        <w:t>.</w:t>
      </w:r>
      <w:r w:rsidR="00260408" w:rsidRPr="00650DAE">
        <w:rPr>
          <w:rFonts w:ascii="Arial" w:hAnsi="Arial" w:cs="Arial"/>
          <w:sz w:val="24"/>
          <w:szCs w:val="24"/>
        </w:rPr>
        <w:t xml:space="preserve"> </w:t>
      </w:r>
      <w:r w:rsidRPr="00650DAE">
        <w:rPr>
          <w:rFonts w:ascii="Arial" w:hAnsi="Arial" w:cs="Arial"/>
          <w:sz w:val="24"/>
          <w:szCs w:val="24"/>
        </w:rPr>
        <w:t xml:space="preserve">Los criterios de búsqueda fueron diseñados a </w:t>
      </w:r>
      <w:r w:rsidR="00A26FAF" w:rsidRPr="00650DAE">
        <w:rPr>
          <w:rFonts w:ascii="Arial" w:hAnsi="Arial" w:cs="Arial"/>
          <w:sz w:val="24"/>
          <w:szCs w:val="24"/>
        </w:rPr>
        <w:t>partir del tesauro DeCs y MeSH.</w:t>
      </w:r>
    </w:p>
    <w:p w:rsidR="00A26FAF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 xml:space="preserve">Desarrollo: </w:t>
      </w:r>
      <w:r w:rsidR="00260408" w:rsidRPr="00650DAE">
        <w:rPr>
          <w:rFonts w:ascii="Arial" w:hAnsi="Arial" w:cs="Arial"/>
          <w:sz w:val="24"/>
          <w:szCs w:val="24"/>
        </w:rPr>
        <w:t xml:space="preserve">La COVID-19 pudiera confundirse con el dengue, </w:t>
      </w:r>
      <w:r w:rsidR="007B1DBE" w:rsidRPr="00650DAE">
        <w:rPr>
          <w:rFonts w:ascii="Arial" w:hAnsi="Arial" w:cs="Arial"/>
          <w:sz w:val="24"/>
          <w:szCs w:val="24"/>
        </w:rPr>
        <w:t>pero</w:t>
      </w:r>
      <w:r w:rsidR="00260408" w:rsidRPr="00650DAE">
        <w:rPr>
          <w:rFonts w:ascii="Arial" w:hAnsi="Arial" w:cs="Arial"/>
          <w:sz w:val="24"/>
          <w:szCs w:val="24"/>
        </w:rPr>
        <w:t xml:space="preserve"> tienen varias diferencias</w:t>
      </w:r>
      <w:r w:rsidR="00A26FAF" w:rsidRPr="00650DAE">
        <w:rPr>
          <w:rFonts w:ascii="Arial" w:hAnsi="Arial" w:cs="Arial"/>
          <w:sz w:val="24"/>
          <w:szCs w:val="24"/>
        </w:rPr>
        <w:t xml:space="preserve">. </w:t>
      </w:r>
      <w:r w:rsidR="00260408" w:rsidRPr="00650DAE">
        <w:rPr>
          <w:rFonts w:ascii="Arial" w:hAnsi="Arial" w:cs="Arial"/>
          <w:sz w:val="24"/>
          <w:szCs w:val="24"/>
        </w:rPr>
        <w:t xml:space="preserve">En </w:t>
      </w:r>
      <w:r w:rsidR="007B1DBE" w:rsidRPr="00650DAE">
        <w:rPr>
          <w:rFonts w:ascii="Arial" w:hAnsi="Arial" w:cs="Arial"/>
          <w:sz w:val="24"/>
          <w:szCs w:val="24"/>
        </w:rPr>
        <w:t>Cuba</w:t>
      </w:r>
      <w:r w:rsidR="00260408" w:rsidRPr="00650DAE">
        <w:rPr>
          <w:rFonts w:ascii="Arial" w:hAnsi="Arial" w:cs="Arial"/>
          <w:sz w:val="24"/>
          <w:szCs w:val="24"/>
        </w:rPr>
        <w:t xml:space="preserve"> en el diagnóstico se prioriza la forma clínica en el caso del dengue</w:t>
      </w:r>
      <w:r w:rsidR="00A26FAF" w:rsidRPr="00650DAE">
        <w:rPr>
          <w:rFonts w:ascii="Arial" w:hAnsi="Arial" w:cs="Arial"/>
          <w:sz w:val="24"/>
          <w:szCs w:val="24"/>
        </w:rPr>
        <w:t>, durante</w:t>
      </w:r>
      <w:r w:rsidR="00260408" w:rsidRPr="00650DAE">
        <w:rPr>
          <w:rFonts w:ascii="Arial" w:hAnsi="Arial" w:cs="Arial"/>
          <w:sz w:val="24"/>
          <w:szCs w:val="24"/>
        </w:rPr>
        <w:t xml:space="preserve"> la convalecencia se hacen las pruebas </w:t>
      </w:r>
      <w:r w:rsidR="007B1DBE" w:rsidRPr="00650DAE">
        <w:rPr>
          <w:rFonts w:ascii="Arial" w:hAnsi="Arial" w:cs="Arial"/>
          <w:sz w:val="24"/>
          <w:szCs w:val="24"/>
        </w:rPr>
        <w:t xml:space="preserve">serológicas. </w:t>
      </w:r>
      <w:r w:rsidR="00260408" w:rsidRPr="00650DAE">
        <w:rPr>
          <w:rFonts w:ascii="Arial" w:hAnsi="Arial" w:cs="Arial"/>
          <w:sz w:val="24"/>
          <w:szCs w:val="24"/>
        </w:rPr>
        <w:t xml:space="preserve">En </w:t>
      </w:r>
      <w:r w:rsidR="007B1DBE" w:rsidRPr="00650DAE">
        <w:rPr>
          <w:rFonts w:ascii="Arial" w:hAnsi="Arial" w:cs="Arial"/>
          <w:sz w:val="24"/>
          <w:szCs w:val="24"/>
        </w:rPr>
        <w:t>la</w:t>
      </w:r>
      <w:r w:rsidR="00260408" w:rsidRPr="00650DAE">
        <w:rPr>
          <w:rFonts w:ascii="Arial" w:hAnsi="Arial" w:cs="Arial"/>
          <w:sz w:val="24"/>
          <w:szCs w:val="24"/>
        </w:rPr>
        <w:t xml:space="preserve"> COVID-19 </w:t>
      </w:r>
      <w:r w:rsidR="00A26FAF" w:rsidRPr="00650DAE">
        <w:rPr>
          <w:rFonts w:ascii="Arial" w:hAnsi="Arial" w:cs="Arial"/>
          <w:sz w:val="24"/>
          <w:szCs w:val="24"/>
        </w:rPr>
        <w:t>e</w:t>
      </w:r>
      <w:r w:rsidR="00260408" w:rsidRPr="00650DAE">
        <w:rPr>
          <w:rFonts w:ascii="Arial" w:hAnsi="Arial" w:cs="Arial"/>
          <w:sz w:val="24"/>
          <w:szCs w:val="24"/>
        </w:rPr>
        <w:t xml:space="preserve">l diagnóstico de certeza </w:t>
      </w:r>
      <w:r w:rsidR="007B1DBE" w:rsidRPr="00650DAE">
        <w:rPr>
          <w:rFonts w:ascii="Arial" w:hAnsi="Arial" w:cs="Arial"/>
          <w:sz w:val="24"/>
          <w:szCs w:val="24"/>
        </w:rPr>
        <w:t>es</w:t>
      </w:r>
      <w:r w:rsidR="00260408" w:rsidRPr="00650DAE">
        <w:rPr>
          <w:rFonts w:ascii="Arial" w:hAnsi="Arial" w:cs="Arial"/>
          <w:sz w:val="24"/>
          <w:szCs w:val="24"/>
        </w:rPr>
        <w:t xml:space="preserve"> a través de métodos moleculares</w:t>
      </w:r>
      <w:r w:rsidR="00A26FAF" w:rsidRPr="00650DAE">
        <w:rPr>
          <w:rFonts w:ascii="Arial" w:hAnsi="Arial" w:cs="Arial"/>
          <w:sz w:val="24"/>
          <w:szCs w:val="24"/>
        </w:rPr>
        <w:t xml:space="preserve">. </w:t>
      </w:r>
      <w:r w:rsidR="00260408" w:rsidRPr="00650DAE">
        <w:rPr>
          <w:rFonts w:ascii="Arial" w:hAnsi="Arial" w:cs="Arial"/>
          <w:sz w:val="24"/>
          <w:szCs w:val="24"/>
        </w:rPr>
        <w:t xml:space="preserve">La coincidencia de ambos procesos en un paciente no es </w:t>
      </w:r>
      <w:r w:rsidR="00A26FAF" w:rsidRPr="00650DAE">
        <w:rPr>
          <w:rFonts w:ascii="Arial" w:hAnsi="Arial" w:cs="Arial"/>
          <w:sz w:val="24"/>
          <w:szCs w:val="24"/>
        </w:rPr>
        <w:t xml:space="preserve">rara. </w:t>
      </w:r>
      <w:r w:rsidR="007B1DBE" w:rsidRPr="00650DAE">
        <w:rPr>
          <w:rFonts w:ascii="Arial" w:hAnsi="Arial" w:cs="Arial"/>
          <w:sz w:val="24"/>
          <w:szCs w:val="24"/>
        </w:rPr>
        <w:t>Existen estudios</w:t>
      </w:r>
      <w:r w:rsidR="00260408" w:rsidRPr="00650DAE">
        <w:rPr>
          <w:rFonts w:ascii="Arial" w:hAnsi="Arial" w:cs="Arial"/>
          <w:sz w:val="24"/>
          <w:szCs w:val="24"/>
        </w:rPr>
        <w:t xml:space="preserve"> para identificar marcadores</w:t>
      </w:r>
      <w:r w:rsidR="00A26FAF" w:rsidRPr="00650DAE">
        <w:rPr>
          <w:rFonts w:ascii="Arial" w:hAnsi="Arial" w:cs="Arial"/>
          <w:sz w:val="24"/>
          <w:szCs w:val="24"/>
        </w:rPr>
        <w:t xml:space="preserve"> pronósticos de </w:t>
      </w:r>
      <w:r w:rsidR="00260408" w:rsidRPr="00650DAE">
        <w:rPr>
          <w:rFonts w:ascii="Arial" w:hAnsi="Arial" w:cs="Arial"/>
          <w:sz w:val="24"/>
          <w:szCs w:val="24"/>
        </w:rPr>
        <w:t>severidad</w:t>
      </w:r>
      <w:r w:rsidR="00A26FAF" w:rsidRPr="00650DAE">
        <w:rPr>
          <w:rFonts w:ascii="Arial" w:hAnsi="Arial" w:cs="Arial"/>
          <w:sz w:val="24"/>
          <w:szCs w:val="24"/>
        </w:rPr>
        <w:t xml:space="preserve">. En Cuba se avanza en una vacuna contra el dengue y se ha </w:t>
      </w:r>
      <w:r w:rsidR="007B1DBE" w:rsidRPr="00650DAE">
        <w:rPr>
          <w:rFonts w:ascii="Arial" w:hAnsi="Arial" w:cs="Arial"/>
          <w:sz w:val="24"/>
          <w:szCs w:val="24"/>
        </w:rPr>
        <w:t xml:space="preserve">inmunizado </w:t>
      </w:r>
      <w:r w:rsidR="00A26FAF" w:rsidRPr="00650DAE">
        <w:rPr>
          <w:rFonts w:ascii="Arial" w:hAnsi="Arial" w:cs="Arial"/>
          <w:sz w:val="24"/>
          <w:szCs w:val="24"/>
        </w:rPr>
        <w:t>más del 80% de la población contra la COVID-19.</w:t>
      </w:r>
    </w:p>
    <w:p w:rsidR="00C15032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 xml:space="preserve">Conclusiones. </w:t>
      </w:r>
      <w:r w:rsidR="00260408" w:rsidRPr="00650DAE">
        <w:rPr>
          <w:rFonts w:ascii="Arial" w:hAnsi="Arial" w:cs="Arial"/>
          <w:sz w:val="24"/>
          <w:szCs w:val="24"/>
        </w:rPr>
        <w:t xml:space="preserve">Ambas enfermedades </w:t>
      </w:r>
      <w:r w:rsidR="00952892" w:rsidRPr="00650DAE">
        <w:rPr>
          <w:rFonts w:ascii="Arial" w:hAnsi="Arial" w:cs="Arial"/>
          <w:sz w:val="24"/>
          <w:szCs w:val="24"/>
        </w:rPr>
        <w:t xml:space="preserve">presentan diferencias </w:t>
      </w:r>
      <w:r w:rsidR="00A26FAF" w:rsidRPr="00650DAE">
        <w:rPr>
          <w:rFonts w:ascii="Arial" w:hAnsi="Arial" w:cs="Arial"/>
          <w:sz w:val="24"/>
          <w:szCs w:val="24"/>
        </w:rPr>
        <w:t xml:space="preserve"> pero </w:t>
      </w:r>
      <w:r w:rsidR="00952892" w:rsidRPr="00650DAE">
        <w:rPr>
          <w:rFonts w:ascii="Arial" w:hAnsi="Arial" w:cs="Arial"/>
          <w:sz w:val="24"/>
          <w:szCs w:val="24"/>
        </w:rPr>
        <w:t>las formas leves se prestan a confusión diagnóstica. El uso de marcadores pronóstico resulta útil y debiera generalizarse su uso. La vacunación resulta novedosa y los resultados son alentadores.</w:t>
      </w:r>
    </w:p>
    <w:p w:rsidR="00EF0463" w:rsidRPr="00650DAE" w:rsidRDefault="001858D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INTRODUCCIÓN</w:t>
      </w:r>
    </w:p>
    <w:p w:rsidR="00C15032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>El dengue es una enfermedad transmisible causada por un flavivirus, que cuenta con cuatro serotipos: DENV-1, DENV-2, DENV-3 y DENV-4; el cual se transmite por la picadura de mosquitos de la especie</w:t>
      </w:r>
      <w:r w:rsidR="00590E40" w:rsidRPr="00650DAE">
        <w:rPr>
          <w:rFonts w:ascii="Arial" w:hAnsi="Arial" w:cs="Arial"/>
          <w:sz w:val="24"/>
          <w:szCs w:val="24"/>
        </w:rPr>
        <w:t xml:space="preserve"> </w:t>
      </w:r>
      <w:r w:rsidRPr="00650DAE">
        <w:rPr>
          <w:rFonts w:ascii="Arial" w:hAnsi="Arial" w:cs="Arial"/>
          <w:sz w:val="24"/>
          <w:szCs w:val="24"/>
        </w:rPr>
        <w:t>Aedes</w:t>
      </w:r>
      <w:r w:rsidR="00590E40" w:rsidRPr="00650DAE">
        <w:rPr>
          <w:rFonts w:ascii="Arial" w:hAnsi="Arial" w:cs="Arial"/>
          <w:sz w:val="24"/>
          <w:szCs w:val="24"/>
        </w:rPr>
        <w:t xml:space="preserve"> </w:t>
      </w:r>
      <w:r w:rsidRPr="00650DAE">
        <w:rPr>
          <w:rFonts w:ascii="Arial" w:hAnsi="Arial" w:cs="Arial"/>
          <w:sz w:val="24"/>
          <w:szCs w:val="24"/>
        </w:rPr>
        <w:t xml:space="preserve">infectados. Los brotes de dengue presentan tendencias estacionales, por lo que se incrementa la transmisión durante y después de las estaciones lluviosas; también influyen los factores geográficos que incrementan la velocidad de reproducción y crecimiento del vector, como son las temperaturas cálidas, la altitud, la humedad y las </w:t>
      </w:r>
      <w:r w:rsidRPr="00650DAE">
        <w:rPr>
          <w:rFonts w:ascii="Arial" w:hAnsi="Arial" w:cs="Arial"/>
          <w:sz w:val="24"/>
          <w:szCs w:val="24"/>
        </w:rPr>
        <w:lastRenderedPageBreak/>
        <w:t>precipitaciones</w:t>
      </w:r>
      <w:r w:rsidR="00590E40" w:rsidRPr="00650DAE">
        <w:rPr>
          <w:rFonts w:ascii="Arial" w:hAnsi="Arial" w:cs="Arial"/>
          <w:sz w:val="24"/>
          <w:szCs w:val="24"/>
        </w:rPr>
        <w:t>; por lo que se considera enfermedad endémica de regiones tropicales y subtropicales</w:t>
      </w:r>
      <w:r w:rsidRPr="00650DAE">
        <w:rPr>
          <w:rFonts w:ascii="Arial" w:hAnsi="Arial" w:cs="Arial"/>
          <w:sz w:val="24"/>
          <w:szCs w:val="24"/>
        </w:rPr>
        <w:t>.</w:t>
      </w:r>
      <w:r w:rsidR="00590E40" w:rsidRPr="00650DAE">
        <w:rPr>
          <w:rStyle w:val="Refdenotaalfinal"/>
          <w:rFonts w:ascii="Arial" w:hAnsi="Arial" w:cs="Arial"/>
          <w:sz w:val="24"/>
          <w:szCs w:val="24"/>
        </w:rPr>
        <w:endnoteReference w:id="1"/>
      </w:r>
      <w:r w:rsidR="00260408" w:rsidRPr="00650DAE">
        <w:rPr>
          <w:rFonts w:ascii="Arial" w:hAnsi="Arial" w:cs="Arial"/>
          <w:sz w:val="24"/>
          <w:szCs w:val="24"/>
        </w:rPr>
        <w:t xml:space="preserve"> La COVID-19, inició su trasmisión en 2019, se originó en China con un epónimo muy fugaz, como «virus de Wuhan». Antes de que apareciera el nombre oficial y ante la necesidad de nombrar a este virus que se convirtió a postre en pandemia, se decidió por la Organización Mundial de la Salud llamarlo (temporalmente) con «nuevo coronavirus</w:t>
      </w:r>
      <w:r w:rsidR="00260408" w:rsidRPr="00650DAE">
        <w:rPr>
          <w:rFonts w:ascii="Cambria Math" w:hAnsi="Cambria Math" w:cs="Cambria Math"/>
          <w:sz w:val="24"/>
          <w:szCs w:val="24"/>
        </w:rPr>
        <w:t>‐</w:t>
      </w:r>
      <w:r w:rsidR="00260408" w:rsidRPr="00650DAE">
        <w:rPr>
          <w:rFonts w:ascii="Arial" w:hAnsi="Arial" w:cs="Arial"/>
          <w:sz w:val="24"/>
          <w:szCs w:val="24"/>
        </w:rPr>
        <w:t>2019» (virus COVID-19). Basado en la filogenia, la taxonomía y la práctica establecida, el Grupo de estudio de coronavirus reconoce formalmente este virus como «hermano» de los virus del Síndrome respiratorio agudo grave (SARS</w:t>
      </w:r>
      <w:r w:rsidR="00260408" w:rsidRPr="00650DAE">
        <w:rPr>
          <w:rFonts w:ascii="Cambria Math" w:hAnsi="Cambria Math" w:cs="Cambria Math"/>
          <w:sz w:val="24"/>
          <w:szCs w:val="24"/>
        </w:rPr>
        <w:t>‐</w:t>
      </w:r>
      <w:proofErr w:type="spellStart"/>
      <w:r w:rsidR="00260408" w:rsidRPr="00650DAE">
        <w:rPr>
          <w:rFonts w:ascii="Arial" w:hAnsi="Arial" w:cs="Arial"/>
          <w:sz w:val="24"/>
          <w:szCs w:val="24"/>
        </w:rPr>
        <w:t>CoV</w:t>
      </w:r>
      <w:proofErr w:type="spellEnd"/>
      <w:r w:rsidR="00260408" w:rsidRPr="00650DAE">
        <w:rPr>
          <w:rFonts w:ascii="Arial" w:hAnsi="Arial" w:cs="Arial"/>
          <w:sz w:val="24"/>
          <w:szCs w:val="24"/>
        </w:rPr>
        <w:t xml:space="preserve">, del inglés </w:t>
      </w:r>
      <w:proofErr w:type="spellStart"/>
      <w:r w:rsidR="00260408" w:rsidRPr="00650DAE">
        <w:rPr>
          <w:rFonts w:ascii="Arial" w:hAnsi="Arial" w:cs="Arial"/>
          <w:sz w:val="24"/>
          <w:szCs w:val="24"/>
        </w:rPr>
        <w:t>Severe</w:t>
      </w:r>
      <w:proofErr w:type="spellEnd"/>
      <w:r w:rsidR="00260408" w:rsidRPr="00650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08" w:rsidRPr="00650DAE">
        <w:rPr>
          <w:rFonts w:ascii="Arial" w:hAnsi="Arial" w:cs="Arial"/>
          <w:sz w:val="24"/>
          <w:szCs w:val="24"/>
        </w:rPr>
        <w:t>Acute</w:t>
      </w:r>
      <w:proofErr w:type="spellEnd"/>
      <w:r w:rsidR="00260408" w:rsidRPr="00650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08" w:rsidRPr="00650DAE">
        <w:rPr>
          <w:rFonts w:ascii="Arial" w:hAnsi="Arial" w:cs="Arial"/>
          <w:sz w:val="24"/>
          <w:szCs w:val="24"/>
        </w:rPr>
        <w:t>Respiratory</w:t>
      </w:r>
      <w:proofErr w:type="spellEnd"/>
      <w:r w:rsidR="00260408" w:rsidRPr="00650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08" w:rsidRPr="00650DAE">
        <w:rPr>
          <w:rFonts w:ascii="Arial" w:hAnsi="Arial" w:cs="Arial"/>
          <w:sz w:val="24"/>
          <w:szCs w:val="24"/>
        </w:rPr>
        <w:t>Syndrome</w:t>
      </w:r>
      <w:proofErr w:type="spellEnd"/>
      <w:r w:rsidR="00260408" w:rsidRPr="00650DAE">
        <w:rPr>
          <w:rFonts w:ascii="Arial" w:hAnsi="Arial" w:cs="Arial"/>
          <w:sz w:val="24"/>
          <w:szCs w:val="24"/>
        </w:rPr>
        <w:t xml:space="preserve"> coronavirus) y lo designó como coronavirus del Síndrome respiratorio agudo grave 2 (SARS</w:t>
      </w:r>
      <w:r w:rsidR="00260408" w:rsidRPr="00650DAE">
        <w:rPr>
          <w:rFonts w:ascii="Cambria Math" w:hAnsi="Cambria Math" w:cs="Cambria Math"/>
          <w:sz w:val="24"/>
          <w:szCs w:val="24"/>
        </w:rPr>
        <w:t>‐</w:t>
      </w:r>
      <w:r w:rsidR="00260408" w:rsidRPr="00650DAE">
        <w:rPr>
          <w:rFonts w:ascii="Arial" w:hAnsi="Arial" w:cs="Arial"/>
          <w:sz w:val="24"/>
          <w:szCs w:val="24"/>
        </w:rPr>
        <w:t>CoV</w:t>
      </w:r>
      <w:r w:rsidR="00260408" w:rsidRPr="00650DAE">
        <w:rPr>
          <w:rFonts w:ascii="Cambria Math" w:hAnsi="Cambria Math" w:cs="Cambria Math"/>
          <w:sz w:val="24"/>
          <w:szCs w:val="24"/>
        </w:rPr>
        <w:t>‐</w:t>
      </w:r>
      <w:r w:rsidR="00260408" w:rsidRPr="00650DAE">
        <w:rPr>
          <w:rFonts w:ascii="Arial" w:hAnsi="Arial" w:cs="Arial"/>
          <w:sz w:val="24"/>
          <w:szCs w:val="24"/>
        </w:rPr>
        <w:t xml:space="preserve">2). </w:t>
      </w:r>
      <w:r w:rsidR="00590E40" w:rsidRPr="00650DAE">
        <w:rPr>
          <w:rStyle w:val="Refdenotaalfinal"/>
          <w:rFonts w:ascii="Arial" w:hAnsi="Arial" w:cs="Arial"/>
          <w:sz w:val="24"/>
          <w:szCs w:val="24"/>
        </w:rPr>
        <w:endnoteReference w:id="2"/>
      </w:r>
    </w:p>
    <w:p w:rsidR="00514442" w:rsidRPr="00650DAE" w:rsidRDefault="00C1503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>La pandemia por COVID-19 se presentó explosivamente en América Latina justo después del brote de dengue del año 2019, el cual fue de grandes dimensiones, con más de 3.1 millones de casos reportados (20% más que en 2015), de los cuales 28 176 fueron casos graves.</w:t>
      </w:r>
      <w:r w:rsidR="00590E40" w:rsidRPr="00650DAE">
        <w:rPr>
          <w:rStyle w:val="Refdenotaalfinal"/>
          <w:rFonts w:ascii="Arial" w:hAnsi="Arial" w:cs="Arial"/>
          <w:sz w:val="24"/>
          <w:szCs w:val="24"/>
        </w:rPr>
        <w:endnoteReference w:id="3"/>
      </w:r>
      <w:r w:rsidR="00260408" w:rsidRPr="00650DAE">
        <w:rPr>
          <w:rFonts w:ascii="Arial" w:hAnsi="Arial" w:cs="Arial"/>
          <w:sz w:val="24"/>
          <w:szCs w:val="24"/>
        </w:rPr>
        <w:t xml:space="preserve"> </w:t>
      </w:r>
      <w:r w:rsidR="00810D04" w:rsidRPr="00650DAE">
        <w:rPr>
          <w:rFonts w:ascii="Arial" w:hAnsi="Arial" w:cs="Arial"/>
          <w:sz w:val="24"/>
          <w:szCs w:val="24"/>
        </w:rPr>
        <w:t>La pandemia por COVID-19 ha generado una disminución de la productividad económica, con interrup</w:t>
      </w:r>
      <w:r w:rsidR="00260408" w:rsidRPr="00650DAE">
        <w:rPr>
          <w:rFonts w:ascii="Arial" w:hAnsi="Arial" w:cs="Arial"/>
          <w:sz w:val="24"/>
          <w:szCs w:val="24"/>
        </w:rPr>
        <w:t>ción de los servicios de salud</w:t>
      </w:r>
      <w:r w:rsidR="00810D04" w:rsidRPr="00650DAE">
        <w:rPr>
          <w:rFonts w:ascii="Arial" w:hAnsi="Arial" w:cs="Arial"/>
          <w:sz w:val="24"/>
          <w:szCs w:val="24"/>
        </w:rPr>
        <w:t>.</w:t>
      </w:r>
      <w:r w:rsidR="00810D04" w:rsidRPr="00650DAE">
        <w:rPr>
          <w:rStyle w:val="Refdenotaalfinal"/>
          <w:rFonts w:ascii="Arial" w:hAnsi="Arial" w:cs="Arial"/>
          <w:sz w:val="24"/>
          <w:szCs w:val="24"/>
        </w:rPr>
        <w:endnoteReference w:id="4"/>
      </w:r>
      <w:r w:rsidR="00810D04" w:rsidRPr="00650DAE">
        <w:rPr>
          <w:rFonts w:ascii="Arial" w:hAnsi="Arial" w:cs="Arial"/>
          <w:sz w:val="24"/>
          <w:szCs w:val="24"/>
        </w:rPr>
        <w:t>-</w:t>
      </w:r>
      <w:r w:rsidR="00810D04" w:rsidRPr="00650DAE">
        <w:rPr>
          <w:rStyle w:val="Refdenotaalfinal"/>
          <w:rFonts w:ascii="Arial" w:hAnsi="Arial" w:cs="Arial"/>
          <w:sz w:val="24"/>
          <w:szCs w:val="24"/>
        </w:rPr>
        <w:endnoteReference w:id="5"/>
      </w:r>
      <w:r w:rsidR="00810D04" w:rsidRPr="00650DAE">
        <w:rPr>
          <w:rFonts w:ascii="Arial" w:hAnsi="Arial" w:cs="Arial"/>
          <w:sz w:val="24"/>
          <w:szCs w:val="24"/>
        </w:rPr>
        <w:t xml:space="preserve"> </w:t>
      </w:r>
      <w:r w:rsidRPr="00650DAE">
        <w:rPr>
          <w:rFonts w:ascii="Arial" w:hAnsi="Arial" w:cs="Arial"/>
          <w:sz w:val="24"/>
          <w:szCs w:val="24"/>
        </w:rPr>
        <w:t>En las zonas endémicas para dengue, la llegada del SARS-CoV-2 representó un gran reto para diagnosticar los cuadros febriles iniciales de ambas enfermedades.</w:t>
      </w:r>
      <w:r w:rsidR="00590E40" w:rsidRPr="00650DAE">
        <w:rPr>
          <w:rStyle w:val="Refdenotaalfinal"/>
          <w:rFonts w:ascii="Arial" w:hAnsi="Arial" w:cs="Arial"/>
          <w:sz w:val="24"/>
          <w:szCs w:val="24"/>
        </w:rPr>
        <w:endnoteReference w:id="6"/>
      </w:r>
    </w:p>
    <w:p w:rsidR="00EF0463" w:rsidRPr="00650DAE" w:rsidRDefault="001858D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OBJETIVOS:</w:t>
      </w:r>
      <w:r w:rsidRPr="00650DAE">
        <w:rPr>
          <w:rFonts w:ascii="Arial" w:hAnsi="Arial" w:cs="Arial"/>
          <w:sz w:val="24"/>
          <w:szCs w:val="24"/>
        </w:rPr>
        <w:t xml:space="preserve"> </w:t>
      </w:r>
      <w:r w:rsidR="00514442" w:rsidRPr="00650DAE">
        <w:rPr>
          <w:rFonts w:ascii="Arial" w:hAnsi="Arial" w:cs="Arial"/>
          <w:sz w:val="24"/>
          <w:szCs w:val="24"/>
        </w:rPr>
        <w:t xml:space="preserve">Describir el cuadro clínico de las infecciones por los virus del dengue y Sars Cov-2, </w:t>
      </w:r>
      <w:r w:rsidR="00810D04" w:rsidRPr="00650DAE">
        <w:rPr>
          <w:rFonts w:ascii="Arial" w:hAnsi="Arial" w:cs="Arial"/>
          <w:sz w:val="24"/>
          <w:szCs w:val="24"/>
        </w:rPr>
        <w:t>así</w:t>
      </w:r>
      <w:r w:rsidR="00514442" w:rsidRPr="00650DAE">
        <w:rPr>
          <w:rFonts w:ascii="Arial" w:hAnsi="Arial" w:cs="Arial"/>
          <w:sz w:val="24"/>
          <w:szCs w:val="24"/>
        </w:rPr>
        <w:t xml:space="preserve"> como la </w:t>
      </w:r>
      <w:r w:rsidR="00810D04" w:rsidRPr="00650DAE">
        <w:rPr>
          <w:rFonts w:ascii="Arial" w:hAnsi="Arial" w:cs="Arial"/>
          <w:sz w:val="24"/>
          <w:szCs w:val="24"/>
        </w:rPr>
        <w:t>conducta</w:t>
      </w:r>
      <w:r w:rsidR="00514442" w:rsidRPr="00650DAE">
        <w:rPr>
          <w:rFonts w:ascii="Arial" w:hAnsi="Arial" w:cs="Arial"/>
          <w:sz w:val="24"/>
          <w:szCs w:val="24"/>
        </w:rPr>
        <w:t xml:space="preserve"> a seguir por los clínicos para su </w:t>
      </w:r>
      <w:r w:rsidR="00810D04" w:rsidRPr="00650DAE">
        <w:rPr>
          <w:rFonts w:ascii="Arial" w:hAnsi="Arial" w:cs="Arial"/>
          <w:sz w:val="24"/>
          <w:szCs w:val="24"/>
        </w:rPr>
        <w:t>diagnóstico</w:t>
      </w:r>
      <w:r w:rsidR="00514442" w:rsidRPr="00650DAE">
        <w:rPr>
          <w:rFonts w:ascii="Arial" w:hAnsi="Arial" w:cs="Arial"/>
          <w:sz w:val="24"/>
          <w:szCs w:val="24"/>
        </w:rPr>
        <w:t xml:space="preserve"> y pron</w:t>
      </w:r>
      <w:r w:rsidR="00810D04" w:rsidRPr="00650DAE">
        <w:rPr>
          <w:rFonts w:ascii="Arial" w:hAnsi="Arial" w:cs="Arial"/>
          <w:sz w:val="24"/>
          <w:szCs w:val="24"/>
        </w:rPr>
        <w:t>ó</w:t>
      </w:r>
      <w:r w:rsidR="00514442" w:rsidRPr="00650DAE">
        <w:rPr>
          <w:rFonts w:ascii="Arial" w:hAnsi="Arial" w:cs="Arial"/>
          <w:sz w:val="24"/>
          <w:szCs w:val="24"/>
        </w:rPr>
        <w:t xml:space="preserve">stico. </w:t>
      </w:r>
      <w:r w:rsidR="00810D04" w:rsidRPr="00650DAE">
        <w:rPr>
          <w:rFonts w:ascii="Arial" w:hAnsi="Arial" w:cs="Arial"/>
          <w:sz w:val="24"/>
          <w:szCs w:val="24"/>
        </w:rPr>
        <w:t>Describir</w:t>
      </w:r>
      <w:r w:rsidR="00514442" w:rsidRPr="00650DAE">
        <w:rPr>
          <w:rFonts w:ascii="Arial" w:hAnsi="Arial" w:cs="Arial"/>
          <w:sz w:val="24"/>
          <w:szCs w:val="24"/>
        </w:rPr>
        <w:t xml:space="preserve"> </w:t>
      </w:r>
      <w:r w:rsidR="00810D04" w:rsidRPr="00650DAE">
        <w:rPr>
          <w:rFonts w:ascii="Arial" w:hAnsi="Arial" w:cs="Arial"/>
          <w:sz w:val="24"/>
          <w:szCs w:val="24"/>
        </w:rPr>
        <w:t>la situación</w:t>
      </w:r>
      <w:r w:rsidR="00514442" w:rsidRPr="00650DAE">
        <w:rPr>
          <w:rFonts w:ascii="Arial" w:hAnsi="Arial" w:cs="Arial"/>
          <w:sz w:val="24"/>
          <w:szCs w:val="24"/>
        </w:rPr>
        <w:t xml:space="preserve"> </w:t>
      </w:r>
      <w:r w:rsidR="00810D04" w:rsidRPr="00650DAE">
        <w:rPr>
          <w:rFonts w:ascii="Arial" w:hAnsi="Arial" w:cs="Arial"/>
          <w:sz w:val="24"/>
          <w:szCs w:val="24"/>
        </w:rPr>
        <w:t>actual</w:t>
      </w:r>
      <w:r w:rsidR="00514442" w:rsidRPr="00650DAE">
        <w:rPr>
          <w:rFonts w:ascii="Arial" w:hAnsi="Arial" w:cs="Arial"/>
          <w:sz w:val="24"/>
          <w:szCs w:val="24"/>
        </w:rPr>
        <w:t xml:space="preserve"> en cuanto a vacunación para ambas enfermedades</w:t>
      </w:r>
    </w:p>
    <w:p w:rsidR="00514442" w:rsidRPr="00650DAE" w:rsidRDefault="001858D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MATERIAL Y MÉTODOS</w:t>
      </w:r>
      <w:r w:rsidRPr="00650DAE">
        <w:rPr>
          <w:rFonts w:ascii="Arial" w:hAnsi="Arial" w:cs="Arial"/>
          <w:sz w:val="24"/>
          <w:szCs w:val="24"/>
        </w:rPr>
        <w:t>:</w:t>
      </w:r>
      <w:r w:rsidR="00260408" w:rsidRPr="00650DAE">
        <w:rPr>
          <w:rFonts w:ascii="Arial" w:hAnsi="Arial" w:cs="Arial"/>
          <w:sz w:val="24"/>
          <w:szCs w:val="24"/>
        </w:rPr>
        <w:t xml:space="preserve"> </w:t>
      </w:r>
      <w:r w:rsidR="00514442" w:rsidRPr="00650DAE">
        <w:rPr>
          <w:rFonts w:ascii="Arial" w:hAnsi="Arial" w:cs="Arial"/>
          <w:sz w:val="24"/>
          <w:szCs w:val="24"/>
        </w:rPr>
        <w:t>Se utilizó el motor de búsqueda Google académico y se consultaron artículos de libre acceso en idioma español e inglés en las bases de datos de PubMed/Medline, Scielo y Scopus, desde 20</w:t>
      </w:r>
      <w:r w:rsidR="00952892" w:rsidRPr="00650DAE">
        <w:rPr>
          <w:rFonts w:ascii="Arial" w:hAnsi="Arial" w:cs="Arial"/>
          <w:sz w:val="24"/>
          <w:szCs w:val="24"/>
        </w:rPr>
        <w:t>00</w:t>
      </w:r>
      <w:r w:rsidR="00514442" w:rsidRPr="00650DAE">
        <w:rPr>
          <w:rFonts w:ascii="Arial" w:hAnsi="Arial" w:cs="Arial"/>
          <w:sz w:val="24"/>
          <w:szCs w:val="24"/>
        </w:rPr>
        <w:t xml:space="preserve"> a 2022. Los criterios de búsqueda fueron diseñados a partir del tesauro DeCs y sus equivalentes en idioma inglés encontrados en el tesauro MeSH. Fueron incluidos artículos que mostraban información acerca del diagnóstico, marcadores pronóstico  y vacunas de los virus del dengue y la COVID-19, dando preferencia a aquellos que se </w:t>
      </w:r>
      <w:r w:rsidR="00514442" w:rsidRPr="00650DAE">
        <w:rPr>
          <w:rFonts w:ascii="Arial" w:hAnsi="Arial" w:cs="Arial"/>
          <w:sz w:val="24"/>
          <w:szCs w:val="24"/>
        </w:rPr>
        <w:lastRenderedPageBreak/>
        <w:t xml:space="preserve">encontraban más cercanos en el tiempo y eran de autores nacionales o latinoamericanos. Finalmente quedaron incluidos </w:t>
      </w:r>
      <w:r w:rsidR="00952892" w:rsidRPr="00650DAE">
        <w:rPr>
          <w:rFonts w:ascii="Arial" w:hAnsi="Arial" w:cs="Arial"/>
          <w:sz w:val="24"/>
          <w:szCs w:val="24"/>
        </w:rPr>
        <w:t>29</w:t>
      </w:r>
      <w:r w:rsidR="00514442" w:rsidRPr="00650DAE">
        <w:rPr>
          <w:rFonts w:ascii="Arial" w:hAnsi="Arial" w:cs="Arial"/>
          <w:sz w:val="24"/>
          <w:szCs w:val="24"/>
        </w:rPr>
        <w:t xml:space="preserve"> artículos.</w:t>
      </w:r>
    </w:p>
    <w:p w:rsidR="00EF0463" w:rsidRPr="00650DAE" w:rsidRDefault="001858D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DESARROLLO</w:t>
      </w:r>
    </w:p>
    <w:p w:rsidR="00810D04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Cuadro clí</w:t>
      </w:r>
      <w:r w:rsidR="00650DAE" w:rsidRPr="00650DAE">
        <w:rPr>
          <w:rFonts w:ascii="Arial" w:hAnsi="Arial" w:cs="Arial"/>
          <w:b/>
          <w:sz w:val="24"/>
          <w:szCs w:val="24"/>
        </w:rPr>
        <w:t xml:space="preserve">nico, similitudes y diferencias: </w:t>
      </w:r>
      <w:r w:rsidR="00810D04" w:rsidRPr="00650DAE">
        <w:rPr>
          <w:rFonts w:ascii="Arial" w:hAnsi="Arial" w:cs="Arial"/>
          <w:sz w:val="24"/>
          <w:szCs w:val="24"/>
        </w:rPr>
        <w:t xml:space="preserve">El dengue se caracteriza por tres fases: la primera es la febril que dura de tres a cinco días, con síntomas como fiebre, dolor de cabeza, detrás de los ojos, en la columna lumbar y malestar generalizado. A partir del segundo y cuarto día puede aparecer un rash acompañado de </w:t>
      </w:r>
      <w:r w:rsidR="00EB6E2D" w:rsidRPr="00650DAE">
        <w:rPr>
          <w:rFonts w:ascii="Arial" w:hAnsi="Arial" w:cs="Arial"/>
          <w:sz w:val="24"/>
          <w:szCs w:val="24"/>
        </w:rPr>
        <w:t>prurito</w:t>
      </w:r>
      <w:r w:rsidR="00810D04" w:rsidRPr="00650DAE">
        <w:rPr>
          <w:rFonts w:ascii="Arial" w:hAnsi="Arial" w:cs="Arial"/>
          <w:sz w:val="24"/>
          <w:szCs w:val="24"/>
        </w:rPr>
        <w:t xml:space="preserve"> y está presente entre </w:t>
      </w:r>
      <w:r w:rsidR="00EB6E2D" w:rsidRPr="00650DAE">
        <w:rPr>
          <w:rFonts w:ascii="Arial" w:hAnsi="Arial" w:cs="Arial"/>
          <w:sz w:val="24"/>
          <w:szCs w:val="24"/>
        </w:rPr>
        <w:t xml:space="preserve">el 30 y el 40% </w:t>
      </w:r>
      <w:r w:rsidR="00810D04" w:rsidRPr="00650DAE">
        <w:rPr>
          <w:rFonts w:ascii="Arial" w:hAnsi="Arial" w:cs="Arial"/>
          <w:sz w:val="24"/>
          <w:szCs w:val="24"/>
        </w:rPr>
        <w:t>de los infectados.</w:t>
      </w:r>
      <w:r w:rsidR="00EB6E2D" w:rsidRPr="00650DAE">
        <w:rPr>
          <w:rFonts w:ascii="Arial" w:hAnsi="Arial" w:cs="Arial"/>
          <w:sz w:val="24"/>
          <w:szCs w:val="24"/>
        </w:rPr>
        <w:t xml:space="preserve"> </w:t>
      </w:r>
      <w:r w:rsidR="00810D04" w:rsidRPr="00650DAE">
        <w:rPr>
          <w:rFonts w:ascii="Arial" w:hAnsi="Arial" w:cs="Arial"/>
          <w:sz w:val="24"/>
          <w:szCs w:val="24"/>
        </w:rPr>
        <w:t>También son frecuentes trastornos del gusto, un cambio descrito como un sabor desagradable sobre todo al ingerir agua; mientras que las complicaciones ocurren después, en la llamada etapa crítica, tras la caída de la fiebre, alrededor de la tercera y quinta jornada.</w:t>
      </w:r>
      <w:r w:rsidR="00EB6E2D" w:rsidRPr="00650DAE">
        <w:rPr>
          <w:rFonts w:ascii="Arial" w:hAnsi="Arial" w:cs="Arial"/>
          <w:sz w:val="24"/>
          <w:szCs w:val="24"/>
        </w:rPr>
        <w:t xml:space="preserve"> La </w:t>
      </w:r>
      <w:r w:rsidR="00810D04" w:rsidRPr="00650DAE">
        <w:rPr>
          <w:rFonts w:ascii="Arial" w:hAnsi="Arial" w:cs="Arial"/>
          <w:sz w:val="24"/>
          <w:szCs w:val="24"/>
        </w:rPr>
        <w:t>complicación más severa resulta el choque por dengue como consecuencia de la extravasación de plasma y la reducción del volumen de sangre, ante lo cual el tratamiento más efectivo constituye reponer la pérdida del líquido</w:t>
      </w:r>
      <w:r w:rsidR="00EB6E2D" w:rsidRPr="00650DAE">
        <w:rPr>
          <w:rFonts w:ascii="Arial" w:hAnsi="Arial" w:cs="Arial"/>
          <w:sz w:val="24"/>
          <w:szCs w:val="24"/>
        </w:rPr>
        <w:t>. Tras esas fases, viene la de recuperación, y</w:t>
      </w:r>
      <w:r w:rsidR="00C653BD">
        <w:rPr>
          <w:rFonts w:ascii="Arial" w:hAnsi="Arial" w:cs="Arial"/>
          <w:sz w:val="24"/>
          <w:szCs w:val="24"/>
        </w:rPr>
        <w:t xml:space="preserve"> se</w:t>
      </w:r>
      <w:r w:rsidR="00EB6E2D" w:rsidRPr="00650DAE">
        <w:rPr>
          <w:rFonts w:ascii="Arial" w:hAnsi="Arial" w:cs="Arial"/>
          <w:sz w:val="24"/>
          <w:szCs w:val="24"/>
        </w:rPr>
        <w:t xml:space="preserve"> puede pasar o no por una convalecencia asociada generalmente a fatiga crónica (conocida como pos dengue).</w:t>
      </w:r>
      <w:r w:rsidR="00EB6E2D" w:rsidRPr="00650DAE">
        <w:rPr>
          <w:rStyle w:val="Refdenotaalfinal"/>
          <w:rFonts w:ascii="Arial" w:hAnsi="Arial" w:cs="Arial"/>
          <w:sz w:val="24"/>
          <w:szCs w:val="24"/>
        </w:rPr>
        <w:endnoteReference w:id="7"/>
      </w:r>
      <w:r w:rsidR="00EB6E2D" w:rsidRPr="00650DAE">
        <w:rPr>
          <w:rFonts w:ascii="Arial" w:hAnsi="Arial" w:cs="Arial"/>
          <w:sz w:val="24"/>
          <w:szCs w:val="24"/>
        </w:rPr>
        <w:t>-</w:t>
      </w:r>
      <w:r w:rsidR="00EB6E2D" w:rsidRPr="00650DAE">
        <w:rPr>
          <w:rStyle w:val="Refdenotaalfinal"/>
          <w:rFonts w:ascii="Arial" w:hAnsi="Arial" w:cs="Arial"/>
          <w:sz w:val="24"/>
          <w:szCs w:val="24"/>
        </w:rPr>
        <w:endnoteReference w:id="8"/>
      </w:r>
      <w:r w:rsidR="00DA7F7F" w:rsidRPr="00650DAE">
        <w:rPr>
          <w:rFonts w:ascii="Arial" w:hAnsi="Arial" w:cs="Arial"/>
          <w:sz w:val="24"/>
          <w:szCs w:val="24"/>
        </w:rPr>
        <w:t xml:space="preserve"> </w:t>
      </w:r>
      <w:r w:rsidR="00EB6E2D" w:rsidRPr="00650DAE">
        <w:rPr>
          <w:rFonts w:ascii="Arial" w:hAnsi="Arial" w:cs="Arial"/>
          <w:sz w:val="24"/>
          <w:szCs w:val="24"/>
        </w:rPr>
        <w:t>El</w:t>
      </w:r>
      <w:r w:rsidR="00810D04" w:rsidRPr="00650DAE">
        <w:rPr>
          <w:rFonts w:ascii="Arial" w:hAnsi="Arial" w:cs="Arial"/>
          <w:sz w:val="24"/>
          <w:szCs w:val="24"/>
        </w:rPr>
        <w:t xml:space="preserve"> impacto y duración de la etapa crítica en el enfermo está en dependencia de los factores de riesgo de la persona y el manejo clínico del caso. </w:t>
      </w:r>
      <w:r w:rsidR="00EB6E2D" w:rsidRPr="00650DAE">
        <w:rPr>
          <w:rFonts w:ascii="Arial" w:hAnsi="Arial" w:cs="Arial"/>
          <w:sz w:val="24"/>
          <w:szCs w:val="24"/>
        </w:rPr>
        <w:t>Es</w:t>
      </w:r>
      <w:r w:rsidR="00810D04" w:rsidRPr="00650DAE">
        <w:rPr>
          <w:rFonts w:ascii="Arial" w:hAnsi="Arial" w:cs="Arial"/>
          <w:sz w:val="24"/>
          <w:szCs w:val="24"/>
        </w:rPr>
        <w:t xml:space="preserve"> imprescindible el conocimiento de los signos de alarma que preceden al estado crítico, pues alertan y contri</w:t>
      </w:r>
      <w:r w:rsidR="00EB6E2D" w:rsidRPr="00650DAE">
        <w:rPr>
          <w:rFonts w:ascii="Arial" w:hAnsi="Arial" w:cs="Arial"/>
          <w:sz w:val="24"/>
          <w:szCs w:val="24"/>
        </w:rPr>
        <w:t>buyen a su tratamiento oportuno: d</w:t>
      </w:r>
      <w:r w:rsidR="00810D04" w:rsidRPr="00650DAE">
        <w:rPr>
          <w:rFonts w:ascii="Arial" w:hAnsi="Arial" w:cs="Arial"/>
          <w:sz w:val="24"/>
          <w:szCs w:val="24"/>
        </w:rPr>
        <w:t>olor abdominal, vómitos frecuentes, irritabilidad y somnolencia fuera de lo habitual, desmayos, sangrados de mucosa y aumento del hematocrito</w:t>
      </w:r>
      <w:r w:rsidR="00EB6E2D" w:rsidRPr="00650DAE">
        <w:rPr>
          <w:rFonts w:ascii="Arial" w:hAnsi="Arial" w:cs="Arial"/>
          <w:sz w:val="24"/>
          <w:szCs w:val="24"/>
        </w:rPr>
        <w:t>.</w:t>
      </w:r>
      <w:r w:rsidR="00EB6E2D" w:rsidRPr="00650DAE">
        <w:rPr>
          <w:rStyle w:val="Refdenotaalfinal"/>
          <w:rFonts w:ascii="Arial" w:hAnsi="Arial" w:cs="Arial"/>
          <w:sz w:val="24"/>
          <w:szCs w:val="24"/>
        </w:rPr>
        <w:endnoteReference w:id="9"/>
      </w:r>
    </w:p>
    <w:p w:rsidR="004834B9" w:rsidRPr="00650DAE" w:rsidRDefault="00687128" w:rsidP="00650DAE">
      <w:pPr>
        <w:tabs>
          <w:tab w:val="left" w:pos="1134"/>
        </w:tabs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  <w:vertAlign w:val="superscript"/>
        </w:rPr>
      </w:pPr>
      <w:r w:rsidRPr="00650DAE">
        <w:rPr>
          <w:rFonts w:ascii="Arial" w:hAnsi="Arial" w:cs="Arial"/>
          <w:sz w:val="24"/>
          <w:szCs w:val="24"/>
        </w:rPr>
        <w:t xml:space="preserve">Los signos y síntomas de la enfermedad por COVID-19 pueden aparecer entre 2 y 14 días después de la exposición al virus (periodo de incubación). </w:t>
      </w:r>
      <w:r w:rsidR="00EC7762">
        <w:rPr>
          <w:rFonts w:ascii="Arial" w:hAnsi="Arial" w:cs="Arial"/>
          <w:sz w:val="24"/>
          <w:szCs w:val="24"/>
        </w:rPr>
        <w:t>L</w:t>
      </w:r>
      <w:r w:rsidRPr="00650DAE">
        <w:rPr>
          <w:rFonts w:ascii="Arial" w:hAnsi="Arial" w:cs="Arial"/>
          <w:sz w:val="24"/>
          <w:szCs w:val="24"/>
        </w:rPr>
        <w:t xml:space="preserve">os signos y los síntomas más habituales son: fiebre, tos, </w:t>
      </w:r>
      <w:r w:rsidR="007D5530" w:rsidRPr="00650DAE">
        <w:rPr>
          <w:rFonts w:ascii="Arial" w:hAnsi="Arial" w:cs="Arial"/>
          <w:sz w:val="24"/>
          <w:szCs w:val="24"/>
        </w:rPr>
        <w:t>astenia, anosmia, ageusia, disnea de intensidad variable, mialgias, e</w:t>
      </w:r>
      <w:r w:rsidRPr="00650DAE">
        <w:rPr>
          <w:rFonts w:ascii="Arial" w:hAnsi="Arial" w:cs="Arial"/>
          <w:sz w:val="24"/>
          <w:szCs w:val="24"/>
        </w:rPr>
        <w:t>scalofríos</w:t>
      </w:r>
      <w:r w:rsidR="007D5530" w:rsidRPr="00650DAE">
        <w:rPr>
          <w:rFonts w:ascii="Arial" w:hAnsi="Arial" w:cs="Arial"/>
          <w:sz w:val="24"/>
          <w:szCs w:val="24"/>
        </w:rPr>
        <w:t xml:space="preserve">, odinofagia, rinorrea, cefalea, diarrea, nauseas, </w:t>
      </w:r>
      <w:r w:rsidR="004834B9" w:rsidRPr="00650DAE">
        <w:rPr>
          <w:rFonts w:ascii="Arial" w:hAnsi="Arial" w:cs="Arial"/>
          <w:sz w:val="24"/>
          <w:szCs w:val="24"/>
        </w:rPr>
        <w:t>vómitos</w:t>
      </w:r>
      <w:r w:rsidR="007D5530" w:rsidRPr="00650DAE">
        <w:rPr>
          <w:rFonts w:ascii="Arial" w:hAnsi="Arial" w:cs="Arial"/>
          <w:sz w:val="24"/>
          <w:szCs w:val="24"/>
        </w:rPr>
        <w:t>, rash</w:t>
      </w:r>
      <w:r w:rsidR="004834B9" w:rsidRPr="00650DAE">
        <w:rPr>
          <w:rFonts w:ascii="Arial" w:hAnsi="Arial" w:cs="Arial"/>
          <w:sz w:val="24"/>
          <w:szCs w:val="24"/>
        </w:rPr>
        <w:t xml:space="preserve">. </w:t>
      </w:r>
      <w:r w:rsidR="007D5530" w:rsidRPr="00650DAE">
        <w:rPr>
          <w:rFonts w:ascii="Arial" w:hAnsi="Arial" w:cs="Arial"/>
          <w:sz w:val="24"/>
          <w:szCs w:val="24"/>
        </w:rPr>
        <w:t xml:space="preserve">En algunos </w:t>
      </w:r>
      <w:r w:rsidR="004834B9" w:rsidRPr="00650DAE">
        <w:rPr>
          <w:rFonts w:ascii="Arial" w:hAnsi="Arial" w:cs="Arial"/>
          <w:sz w:val="24"/>
          <w:szCs w:val="24"/>
        </w:rPr>
        <w:t>pacientes</w:t>
      </w:r>
      <w:r w:rsidR="007D5530" w:rsidRPr="00650DAE">
        <w:rPr>
          <w:rFonts w:ascii="Arial" w:hAnsi="Arial" w:cs="Arial"/>
          <w:sz w:val="24"/>
          <w:szCs w:val="24"/>
        </w:rPr>
        <w:t xml:space="preserve"> se observa empeoramiento del cuadro clínico tras una sema</w:t>
      </w:r>
      <w:r w:rsidR="004834B9" w:rsidRPr="00650DAE">
        <w:rPr>
          <w:rFonts w:ascii="Arial" w:hAnsi="Arial" w:cs="Arial"/>
          <w:sz w:val="24"/>
          <w:szCs w:val="24"/>
        </w:rPr>
        <w:t>na</w:t>
      </w:r>
      <w:r w:rsidR="007D5530" w:rsidRPr="00650DAE">
        <w:rPr>
          <w:rFonts w:ascii="Arial" w:hAnsi="Arial" w:cs="Arial"/>
          <w:sz w:val="24"/>
          <w:szCs w:val="24"/>
        </w:rPr>
        <w:t xml:space="preserve"> de </w:t>
      </w:r>
      <w:r w:rsidR="004834B9" w:rsidRPr="00650DAE">
        <w:rPr>
          <w:rFonts w:ascii="Arial" w:hAnsi="Arial" w:cs="Arial"/>
          <w:sz w:val="24"/>
          <w:szCs w:val="24"/>
        </w:rPr>
        <w:t>iniciado (fase pulmonar y fase hiperinflamatoria)</w:t>
      </w:r>
      <w:r w:rsidR="007D5530" w:rsidRPr="00650DAE">
        <w:rPr>
          <w:rFonts w:ascii="Arial" w:hAnsi="Arial" w:cs="Arial"/>
          <w:sz w:val="24"/>
          <w:szCs w:val="24"/>
        </w:rPr>
        <w:t xml:space="preserve">. Los síntomas pueden persistir cuatro semanas después de que se diagnostica. Estos problemas de salud algunas veces se llaman afecciones post </w:t>
      </w:r>
      <w:r w:rsidR="003760C4" w:rsidRPr="00650DAE">
        <w:rPr>
          <w:rFonts w:ascii="Arial" w:hAnsi="Arial" w:cs="Arial"/>
          <w:sz w:val="24"/>
          <w:szCs w:val="24"/>
        </w:rPr>
        <w:t>COVID-19.</w:t>
      </w:r>
      <w:r w:rsidR="004834B9" w:rsidRPr="00650DAE">
        <w:rPr>
          <w:rStyle w:val="Refdenotaalfinal"/>
          <w:rFonts w:ascii="Arial" w:hAnsi="Arial" w:cs="Arial"/>
          <w:sz w:val="24"/>
          <w:szCs w:val="24"/>
        </w:rPr>
        <w:endnoteReference w:id="10"/>
      </w:r>
      <w:r w:rsidR="00DA7F7F" w:rsidRPr="00650DAE">
        <w:rPr>
          <w:rFonts w:ascii="Arial" w:hAnsi="Arial" w:cs="Arial"/>
          <w:sz w:val="24"/>
          <w:szCs w:val="24"/>
        </w:rPr>
        <w:t xml:space="preserve"> </w:t>
      </w:r>
      <w:r w:rsidR="007D5530" w:rsidRPr="00650DAE">
        <w:rPr>
          <w:rFonts w:ascii="Arial" w:hAnsi="Arial" w:cs="Arial"/>
          <w:sz w:val="24"/>
          <w:szCs w:val="24"/>
        </w:rPr>
        <w:t xml:space="preserve">Aunque la mayoría de las personas tienen síntomas leves a </w:t>
      </w:r>
      <w:r w:rsidR="007D5530" w:rsidRPr="00650DAE">
        <w:rPr>
          <w:rFonts w:ascii="Arial" w:hAnsi="Arial" w:cs="Arial"/>
          <w:sz w:val="24"/>
          <w:szCs w:val="24"/>
        </w:rPr>
        <w:lastRenderedPageBreak/>
        <w:t xml:space="preserve">moderados, la enfermedad puede causar complicaciones </w:t>
      </w:r>
      <w:r w:rsidR="004834B9" w:rsidRPr="00650DAE">
        <w:rPr>
          <w:rFonts w:ascii="Arial" w:hAnsi="Arial" w:cs="Arial"/>
          <w:sz w:val="24"/>
          <w:szCs w:val="24"/>
        </w:rPr>
        <w:t>e incluso ser mortal</w:t>
      </w:r>
      <w:r w:rsidR="007D5530" w:rsidRPr="00650DAE">
        <w:rPr>
          <w:rFonts w:ascii="Arial" w:hAnsi="Arial" w:cs="Arial"/>
          <w:sz w:val="24"/>
          <w:szCs w:val="24"/>
        </w:rPr>
        <w:t xml:space="preserve">. Los adultos mayores o las personas con afecciones médicas </w:t>
      </w:r>
      <w:r w:rsidR="004834B9" w:rsidRPr="00650DAE">
        <w:rPr>
          <w:rFonts w:ascii="Arial" w:hAnsi="Arial" w:cs="Arial"/>
          <w:sz w:val="24"/>
          <w:szCs w:val="24"/>
        </w:rPr>
        <w:t>pre-</w:t>
      </w:r>
      <w:r w:rsidR="007D5530" w:rsidRPr="00650DAE">
        <w:rPr>
          <w:rFonts w:ascii="Arial" w:hAnsi="Arial" w:cs="Arial"/>
          <w:sz w:val="24"/>
          <w:szCs w:val="24"/>
        </w:rPr>
        <w:t>existentes corren un mayor riesgo de enfermarse gravemente.</w:t>
      </w:r>
      <w:r w:rsidR="004834B9" w:rsidRPr="00650DAE">
        <w:rPr>
          <w:rFonts w:ascii="Arial" w:hAnsi="Arial" w:cs="Arial"/>
          <w:sz w:val="24"/>
          <w:szCs w:val="24"/>
        </w:rPr>
        <w:t xml:space="preserve"> </w:t>
      </w:r>
      <w:r w:rsidR="007D5530" w:rsidRPr="00650DAE">
        <w:rPr>
          <w:rFonts w:ascii="Arial" w:hAnsi="Arial" w:cs="Arial"/>
          <w:sz w:val="24"/>
          <w:szCs w:val="24"/>
        </w:rPr>
        <w:t xml:space="preserve">Las complicaciones </w:t>
      </w:r>
      <w:r w:rsidR="004834B9" w:rsidRPr="00650DAE">
        <w:rPr>
          <w:rFonts w:ascii="Arial" w:hAnsi="Arial" w:cs="Arial"/>
          <w:sz w:val="24"/>
          <w:szCs w:val="24"/>
        </w:rPr>
        <w:t>más frecuentes son: neumonía, insuficiencia respiratoria aguda, fallo multiorgánico, lesión renal aguda, sobreinfección bacteriana o vir</w:t>
      </w:r>
      <w:r w:rsidR="00096521" w:rsidRPr="00650DAE">
        <w:rPr>
          <w:rFonts w:ascii="Arial" w:hAnsi="Arial" w:cs="Arial"/>
          <w:sz w:val="24"/>
          <w:szCs w:val="24"/>
        </w:rPr>
        <w:t>al, problemas cardiovasculares.</w:t>
      </w:r>
      <w:r w:rsidR="00096521" w:rsidRPr="00650DAE">
        <w:rPr>
          <w:rFonts w:ascii="Arial" w:hAnsi="Arial" w:cs="Arial"/>
          <w:sz w:val="24"/>
          <w:szCs w:val="24"/>
          <w:vertAlign w:val="superscript"/>
        </w:rPr>
        <w:t>10</w:t>
      </w:r>
    </w:p>
    <w:p w:rsidR="00810D04" w:rsidRPr="00650DAE" w:rsidRDefault="00EB6E2D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color w:val="FF0000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t>L</w:t>
      </w:r>
      <w:r w:rsidR="00810D04" w:rsidRPr="00650DAE">
        <w:rPr>
          <w:rFonts w:ascii="Arial" w:hAnsi="Arial" w:cs="Arial"/>
          <w:sz w:val="24"/>
          <w:szCs w:val="24"/>
        </w:rPr>
        <w:t>a COVID-19 pudiera confundirse con el dengue, no obstante, tienen varias diferencias, partiendo de que la COVID-19 se adquiere por vía respiratoria y el dengue por la sangre. Los síntomas iniciales son similares: fiebre, malestar general y alguna diarrea, por lo que a veces resulta difícil establecer un diagnóstico diferencial.</w:t>
      </w:r>
      <w:r w:rsidR="00C92BA6" w:rsidRPr="00650DAE">
        <w:rPr>
          <w:rFonts w:ascii="Arial" w:hAnsi="Arial" w:cs="Arial"/>
          <w:sz w:val="24"/>
          <w:szCs w:val="24"/>
        </w:rPr>
        <w:t xml:space="preserve"> Sin embargo </w:t>
      </w:r>
      <w:r w:rsidR="00810D04" w:rsidRPr="00650DAE">
        <w:rPr>
          <w:rFonts w:ascii="Arial" w:hAnsi="Arial" w:cs="Arial"/>
          <w:sz w:val="24"/>
          <w:szCs w:val="24"/>
        </w:rPr>
        <w:t xml:space="preserve">empiezan a distinguirse a partir de las 24 y 48 horas; al estar acompañada la COVID-19 por síntomas </w:t>
      </w:r>
      <w:r w:rsidR="00EC7762">
        <w:rPr>
          <w:rFonts w:ascii="Arial" w:hAnsi="Arial" w:cs="Arial"/>
          <w:sz w:val="24"/>
          <w:szCs w:val="24"/>
        </w:rPr>
        <w:t>respiratorios y ageusia</w:t>
      </w:r>
      <w:r w:rsidR="00810D04" w:rsidRPr="00650DAE">
        <w:rPr>
          <w:rFonts w:ascii="Arial" w:hAnsi="Arial" w:cs="Arial"/>
          <w:sz w:val="24"/>
          <w:szCs w:val="24"/>
        </w:rPr>
        <w:t xml:space="preserve">, mientras que en el caso del dengue predominan </w:t>
      </w:r>
      <w:r w:rsidR="00EC7762">
        <w:rPr>
          <w:rFonts w:ascii="Arial" w:hAnsi="Arial" w:cs="Arial"/>
          <w:sz w:val="24"/>
          <w:szCs w:val="24"/>
        </w:rPr>
        <w:t>mialgias</w:t>
      </w:r>
      <w:r w:rsidR="00810D04" w:rsidRPr="00650DAE">
        <w:rPr>
          <w:rFonts w:ascii="Arial" w:hAnsi="Arial" w:cs="Arial"/>
          <w:sz w:val="24"/>
          <w:szCs w:val="24"/>
        </w:rPr>
        <w:t xml:space="preserve">, la cefalea, </w:t>
      </w:r>
      <w:r w:rsidR="00EC7762">
        <w:rPr>
          <w:rFonts w:ascii="Arial" w:hAnsi="Arial" w:cs="Arial"/>
          <w:sz w:val="24"/>
          <w:szCs w:val="24"/>
        </w:rPr>
        <w:t>rash</w:t>
      </w:r>
      <w:r w:rsidR="00810D04" w:rsidRPr="00650DAE">
        <w:rPr>
          <w:rFonts w:ascii="Arial" w:hAnsi="Arial" w:cs="Arial"/>
          <w:sz w:val="24"/>
          <w:szCs w:val="24"/>
        </w:rPr>
        <w:t xml:space="preserve"> y la presencia de los signos de alarma.</w:t>
      </w:r>
      <w:r w:rsidR="00C92BA6" w:rsidRPr="00650DAE">
        <w:rPr>
          <w:rFonts w:ascii="Arial" w:hAnsi="Arial" w:cs="Arial"/>
          <w:sz w:val="24"/>
          <w:szCs w:val="24"/>
        </w:rPr>
        <w:t xml:space="preserve"> </w:t>
      </w:r>
      <w:r w:rsidR="00810D04" w:rsidRPr="00650DAE">
        <w:rPr>
          <w:rFonts w:ascii="Arial" w:hAnsi="Arial" w:cs="Arial"/>
          <w:sz w:val="24"/>
          <w:szCs w:val="24"/>
        </w:rPr>
        <w:t>Asimismo, las complicaciones del dengue son post febriles y en los contagiados por el nuevo coronavirus la fiebre puede presenta</w:t>
      </w:r>
      <w:r w:rsidR="00C92BA6" w:rsidRPr="00650DAE">
        <w:rPr>
          <w:rFonts w:ascii="Arial" w:hAnsi="Arial" w:cs="Arial"/>
          <w:sz w:val="24"/>
          <w:szCs w:val="24"/>
        </w:rPr>
        <w:t>rse en cualquier momento.</w:t>
      </w:r>
      <w:r w:rsidR="001858DC" w:rsidRPr="00650DAE">
        <w:rPr>
          <w:rStyle w:val="Refdenotaalfinal"/>
          <w:rFonts w:ascii="Arial" w:hAnsi="Arial" w:cs="Arial"/>
          <w:sz w:val="24"/>
          <w:szCs w:val="24"/>
        </w:rPr>
        <w:endnoteReference w:id="11"/>
      </w:r>
    </w:p>
    <w:p w:rsidR="00044034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Diagnóstico positivo</w:t>
      </w:r>
      <w:r w:rsidR="00650DAE" w:rsidRPr="00650DAE">
        <w:rPr>
          <w:rFonts w:ascii="Arial" w:hAnsi="Arial" w:cs="Arial"/>
          <w:b/>
          <w:sz w:val="24"/>
          <w:szCs w:val="24"/>
        </w:rPr>
        <w:t xml:space="preserve">: </w:t>
      </w:r>
      <w:r w:rsidR="00C92BA6" w:rsidRPr="00650DAE">
        <w:rPr>
          <w:rFonts w:ascii="Arial" w:hAnsi="Arial" w:cs="Arial"/>
          <w:sz w:val="24"/>
          <w:szCs w:val="24"/>
        </w:rPr>
        <w:t>En nuestro país en</w:t>
      </w:r>
      <w:r w:rsidR="009612FD" w:rsidRPr="00650DAE">
        <w:rPr>
          <w:rFonts w:ascii="Arial" w:hAnsi="Arial" w:cs="Arial"/>
          <w:sz w:val="24"/>
          <w:szCs w:val="24"/>
        </w:rPr>
        <w:t xml:space="preserve"> el diagnóstico se prioriza la forma clínica</w:t>
      </w:r>
      <w:r w:rsidR="00044034" w:rsidRPr="00650DAE">
        <w:rPr>
          <w:rFonts w:ascii="Arial" w:hAnsi="Arial" w:cs="Arial"/>
          <w:sz w:val="24"/>
          <w:szCs w:val="24"/>
        </w:rPr>
        <w:t xml:space="preserve"> en el caso</w:t>
      </w:r>
      <w:r w:rsidR="001D1790" w:rsidRPr="00650DAE">
        <w:rPr>
          <w:rFonts w:ascii="Arial" w:hAnsi="Arial" w:cs="Arial"/>
          <w:sz w:val="24"/>
          <w:szCs w:val="24"/>
        </w:rPr>
        <w:t xml:space="preserve"> del de</w:t>
      </w:r>
      <w:r w:rsidR="00044034" w:rsidRPr="00650DAE">
        <w:rPr>
          <w:rFonts w:ascii="Arial" w:hAnsi="Arial" w:cs="Arial"/>
          <w:sz w:val="24"/>
          <w:szCs w:val="24"/>
        </w:rPr>
        <w:t>ngue</w:t>
      </w:r>
      <w:r w:rsidR="009612FD" w:rsidRPr="00650DAE">
        <w:rPr>
          <w:rFonts w:ascii="Arial" w:hAnsi="Arial" w:cs="Arial"/>
          <w:sz w:val="24"/>
          <w:szCs w:val="24"/>
        </w:rPr>
        <w:t>,</w:t>
      </w:r>
      <w:r w:rsidR="001D1790" w:rsidRPr="00650DAE">
        <w:rPr>
          <w:rFonts w:ascii="Arial" w:hAnsi="Arial" w:cs="Arial"/>
          <w:sz w:val="24"/>
          <w:szCs w:val="24"/>
        </w:rPr>
        <w:t xml:space="preserve"> en la que se evidencia además de los síntomas y signos descritos y posible relación con foco de vectores o casos de dengue, linfocitosis, leucopenia y trombocitopenia</w:t>
      </w:r>
      <w:r w:rsidR="009612FD" w:rsidRPr="00650DAE">
        <w:rPr>
          <w:rFonts w:ascii="Arial" w:hAnsi="Arial" w:cs="Arial"/>
          <w:sz w:val="24"/>
          <w:szCs w:val="24"/>
        </w:rPr>
        <w:t xml:space="preserve"> </w:t>
      </w:r>
      <w:r w:rsidR="001D1790" w:rsidRPr="00650DAE">
        <w:rPr>
          <w:rFonts w:ascii="Arial" w:hAnsi="Arial" w:cs="Arial"/>
          <w:sz w:val="24"/>
          <w:szCs w:val="24"/>
        </w:rPr>
        <w:t>en el hemograma. D</w:t>
      </w:r>
      <w:r w:rsidR="009612FD" w:rsidRPr="00650DAE">
        <w:rPr>
          <w:rFonts w:ascii="Arial" w:hAnsi="Arial" w:cs="Arial"/>
          <w:sz w:val="24"/>
          <w:szCs w:val="24"/>
        </w:rPr>
        <w:t>urante la convalecencia</w:t>
      </w:r>
      <w:r w:rsidR="00C92BA6" w:rsidRPr="00650DAE">
        <w:rPr>
          <w:rFonts w:ascii="Arial" w:hAnsi="Arial" w:cs="Arial"/>
          <w:sz w:val="24"/>
          <w:szCs w:val="24"/>
        </w:rPr>
        <w:t xml:space="preserve"> </w:t>
      </w:r>
      <w:r w:rsidR="009612FD" w:rsidRPr="00650DAE">
        <w:rPr>
          <w:rFonts w:ascii="Arial" w:hAnsi="Arial" w:cs="Arial"/>
          <w:sz w:val="24"/>
          <w:szCs w:val="24"/>
        </w:rPr>
        <w:t>se hacen las pruebas de detección de anticuerpos (IgM), a partir de un test desarrollado por el Centro de InmunoEnsayo, y en la etapa aguda de la enfermedad el PCR (Reacción en Cadena de la Polimerasa) permite id</w:t>
      </w:r>
      <w:r w:rsidR="00C92BA6" w:rsidRPr="00650DAE">
        <w:rPr>
          <w:rFonts w:ascii="Arial" w:hAnsi="Arial" w:cs="Arial"/>
          <w:sz w:val="24"/>
          <w:szCs w:val="24"/>
        </w:rPr>
        <w:t>entificar el serotipo infectante, aunque no se hace de forma rutin</w:t>
      </w:r>
      <w:r w:rsidR="001D1790" w:rsidRPr="00650DAE">
        <w:rPr>
          <w:rFonts w:ascii="Arial" w:hAnsi="Arial" w:cs="Arial"/>
          <w:sz w:val="24"/>
          <w:szCs w:val="24"/>
        </w:rPr>
        <w:t>aria a la mayoría de los casos.</w:t>
      </w:r>
      <w:r w:rsidR="001703F6" w:rsidRPr="00650DAE">
        <w:rPr>
          <w:rFonts w:ascii="Arial" w:hAnsi="Arial" w:cs="Arial"/>
          <w:sz w:val="24"/>
          <w:szCs w:val="24"/>
        </w:rPr>
        <w:t xml:space="preserve"> También la detección en sangre del genoma del VDEN y antígeno viral NS1 son métodos confirmatorios.</w:t>
      </w:r>
      <w:r w:rsidR="001703F6" w:rsidRPr="00650DAE">
        <w:rPr>
          <w:rStyle w:val="Refdenotaalfinal"/>
          <w:rFonts w:ascii="Arial" w:hAnsi="Arial" w:cs="Arial"/>
          <w:sz w:val="24"/>
          <w:szCs w:val="24"/>
        </w:rPr>
        <w:endnoteReference w:id="12"/>
      </w:r>
      <w:r w:rsidR="00EC7762">
        <w:rPr>
          <w:rFonts w:ascii="Arial" w:hAnsi="Arial" w:cs="Arial"/>
          <w:sz w:val="24"/>
          <w:szCs w:val="24"/>
        </w:rPr>
        <w:t xml:space="preserve"> </w:t>
      </w:r>
      <w:r w:rsidR="00044034" w:rsidRPr="00650DAE">
        <w:rPr>
          <w:rFonts w:ascii="Arial" w:hAnsi="Arial" w:cs="Arial"/>
          <w:sz w:val="24"/>
          <w:szCs w:val="24"/>
        </w:rPr>
        <w:t xml:space="preserve">En el caso del COVID-19 debido a la gran similitud entre esta enfermedad y otras infecciones respiratorias virales, debe realizarse una exhaustiva anamnesis del paciente, haciendo hincapié en los contacto con individuos sintomáticos. Los pacientes presentan </w:t>
      </w:r>
      <w:proofErr w:type="spellStart"/>
      <w:r w:rsidR="00044034" w:rsidRPr="00650DAE">
        <w:rPr>
          <w:rFonts w:ascii="Arial" w:hAnsi="Arial" w:cs="Arial"/>
          <w:sz w:val="24"/>
          <w:szCs w:val="24"/>
        </w:rPr>
        <w:t>linfopenia</w:t>
      </w:r>
      <w:proofErr w:type="spellEnd"/>
      <w:r w:rsidR="00044034" w:rsidRPr="00650DAE">
        <w:rPr>
          <w:rFonts w:ascii="Arial" w:hAnsi="Arial" w:cs="Arial"/>
          <w:sz w:val="24"/>
          <w:szCs w:val="24"/>
        </w:rPr>
        <w:t xml:space="preserve">, tiempo de protrombina prolongado y elevación de las enzimas </w:t>
      </w:r>
      <w:r w:rsidR="00EC7762">
        <w:rPr>
          <w:rFonts w:ascii="Arial" w:hAnsi="Arial" w:cs="Arial"/>
          <w:sz w:val="24"/>
          <w:szCs w:val="24"/>
        </w:rPr>
        <w:t>LDH</w:t>
      </w:r>
      <w:r w:rsidR="00044034" w:rsidRPr="00650DAE">
        <w:rPr>
          <w:rFonts w:ascii="Arial" w:hAnsi="Arial" w:cs="Arial"/>
          <w:sz w:val="24"/>
          <w:szCs w:val="24"/>
        </w:rPr>
        <w:t xml:space="preserve"> y </w:t>
      </w:r>
      <w:r w:rsidR="00EC7762">
        <w:rPr>
          <w:rFonts w:ascii="Arial" w:hAnsi="Arial" w:cs="Arial"/>
          <w:sz w:val="24"/>
          <w:szCs w:val="24"/>
        </w:rPr>
        <w:t>CK</w:t>
      </w:r>
      <w:r w:rsidR="00044034" w:rsidRPr="00650DAE">
        <w:rPr>
          <w:rFonts w:ascii="Arial" w:hAnsi="Arial" w:cs="Arial"/>
          <w:sz w:val="24"/>
          <w:szCs w:val="24"/>
        </w:rPr>
        <w:t xml:space="preserve">, así como un aumento de </w:t>
      </w:r>
      <w:r w:rsidR="001D1790" w:rsidRPr="00650DAE">
        <w:rPr>
          <w:rFonts w:ascii="Arial" w:hAnsi="Arial" w:cs="Arial"/>
          <w:sz w:val="24"/>
          <w:szCs w:val="24"/>
        </w:rPr>
        <w:t xml:space="preserve">la </w:t>
      </w:r>
      <w:r w:rsidR="00EC7762">
        <w:rPr>
          <w:rFonts w:ascii="Arial" w:hAnsi="Arial" w:cs="Arial"/>
          <w:sz w:val="24"/>
          <w:szCs w:val="24"/>
        </w:rPr>
        <w:t>VSG</w:t>
      </w:r>
      <w:r w:rsidR="001D1790" w:rsidRPr="00650DAE">
        <w:rPr>
          <w:rFonts w:ascii="Arial" w:hAnsi="Arial" w:cs="Arial"/>
          <w:sz w:val="24"/>
          <w:szCs w:val="24"/>
        </w:rPr>
        <w:t xml:space="preserve">, proteína c reactiva y del dímero-D, entre otras alteraciones. </w:t>
      </w:r>
      <w:r w:rsidR="00044034" w:rsidRPr="00650DAE">
        <w:rPr>
          <w:rFonts w:ascii="Arial" w:hAnsi="Arial" w:cs="Arial"/>
          <w:sz w:val="24"/>
          <w:szCs w:val="24"/>
        </w:rPr>
        <w:t xml:space="preserve">El diagnóstico de certeza se realiza a través de métodos moleculares, el más </w:t>
      </w:r>
      <w:r w:rsidR="00044034" w:rsidRPr="00650DAE">
        <w:rPr>
          <w:rFonts w:ascii="Arial" w:hAnsi="Arial" w:cs="Arial"/>
          <w:sz w:val="24"/>
          <w:szCs w:val="24"/>
        </w:rPr>
        <w:lastRenderedPageBreak/>
        <w:t>utilizado es el test de transcripción inversa de la reacción en cadena de la polimerasa (RT-PCR) a partir de muestras respiratorias</w:t>
      </w:r>
      <w:r w:rsidR="001D1790" w:rsidRPr="00650DAE">
        <w:rPr>
          <w:rFonts w:ascii="Arial" w:hAnsi="Arial" w:cs="Arial"/>
          <w:sz w:val="24"/>
          <w:szCs w:val="24"/>
        </w:rPr>
        <w:t xml:space="preserve">. </w:t>
      </w:r>
      <w:r w:rsidR="00044034" w:rsidRPr="00650DAE">
        <w:rPr>
          <w:rFonts w:ascii="Arial" w:hAnsi="Arial" w:cs="Arial"/>
          <w:sz w:val="24"/>
          <w:szCs w:val="24"/>
        </w:rPr>
        <w:t xml:space="preserve">Existen pruebas  rápidas que detectan cualitativa o </w:t>
      </w:r>
      <w:proofErr w:type="spellStart"/>
      <w:r w:rsidR="00044034" w:rsidRPr="00650DAE">
        <w:rPr>
          <w:rFonts w:ascii="Arial" w:hAnsi="Arial" w:cs="Arial"/>
          <w:sz w:val="24"/>
          <w:szCs w:val="24"/>
        </w:rPr>
        <w:t>semi-cuantitativamente</w:t>
      </w:r>
      <w:proofErr w:type="spellEnd"/>
      <w:r w:rsidR="00044034" w:rsidRPr="00650DAE">
        <w:rPr>
          <w:rFonts w:ascii="Arial" w:hAnsi="Arial" w:cs="Arial"/>
          <w:sz w:val="24"/>
          <w:szCs w:val="24"/>
        </w:rPr>
        <w:t xml:space="preserve"> la presencia del SARS-CoV-2 en muestras de suero y/o plasma</w:t>
      </w:r>
      <w:r w:rsidR="001D1790" w:rsidRPr="00650DAE">
        <w:rPr>
          <w:rFonts w:ascii="Arial" w:hAnsi="Arial" w:cs="Arial"/>
          <w:sz w:val="24"/>
          <w:szCs w:val="24"/>
        </w:rPr>
        <w:t xml:space="preserve"> </w:t>
      </w:r>
      <w:r w:rsidR="00044034" w:rsidRPr="00650DAE">
        <w:rPr>
          <w:rFonts w:ascii="Arial" w:hAnsi="Arial" w:cs="Arial"/>
          <w:sz w:val="24"/>
          <w:szCs w:val="24"/>
        </w:rPr>
        <w:t>a través de la detección directa de antígenos o indirecta los anticuerpos relacionados con el mismo</w:t>
      </w:r>
      <w:r w:rsidR="001D1790" w:rsidRPr="00650DAE">
        <w:rPr>
          <w:rFonts w:ascii="Arial" w:hAnsi="Arial" w:cs="Arial"/>
          <w:sz w:val="24"/>
          <w:szCs w:val="24"/>
        </w:rPr>
        <w:t>.</w:t>
      </w:r>
      <w:r w:rsidR="001D1790" w:rsidRPr="00650DAE">
        <w:rPr>
          <w:rStyle w:val="Refdenotaalfinal"/>
          <w:rFonts w:ascii="Arial" w:hAnsi="Arial" w:cs="Arial"/>
          <w:sz w:val="24"/>
          <w:szCs w:val="24"/>
        </w:rPr>
        <w:endnoteReference w:id="13"/>
      </w:r>
    </w:p>
    <w:p w:rsidR="00DA7F7F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Co-infección dengue-COVID</w:t>
      </w:r>
      <w:r w:rsidR="00650DAE" w:rsidRPr="00650DAE">
        <w:rPr>
          <w:rFonts w:ascii="Arial" w:hAnsi="Arial" w:cs="Arial"/>
          <w:b/>
          <w:sz w:val="24"/>
          <w:szCs w:val="24"/>
        </w:rPr>
        <w:t xml:space="preserve">: </w:t>
      </w:r>
      <w:r w:rsidR="00C92BA6" w:rsidRPr="00650DAE">
        <w:rPr>
          <w:rFonts w:ascii="Arial" w:hAnsi="Arial" w:cs="Arial"/>
          <w:sz w:val="24"/>
          <w:szCs w:val="24"/>
        </w:rPr>
        <w:t xml:space="preserve">Durante la pandemia de COVID-19 se ha observado un subregistro de casos de dengue; esto puede deberse a su solapamiento con otros procesos febriles y al propio aislamiento. La coincidencia de ambos procesos infecciosos en un mismo paciente no es </w:t>
      </w:r>
      <w:r w:rsidR="00EC7762">
        <w:rPr>
          <w:rFonts w:ascii="Arial" w:hAnsi="Arial" w:cs="Arial"/>
          <w:sz w:val="24"/>
          <w:szCs w:val="24"/>
        </w:rPr>
        <w:t>rara</w:t>
      </w:r>
      <w:r w:rsidR="00C92BA6" w:rsidRPr="00650DAE">
        <w:rPr>
          <w:rFonts w:ascii="Arial" w:hAnsi="Arial" w:cs="Arial"/>
          <w:sz w:val="24"/>
          <w:szCs w:val="24"/>
        </w:rPr>
        <w:t>, la literatura internacional reporta casos</w:t>
      </w:r>
      <w:r w:rsidR="00C92BA6" w:rsidRPr="00650DAE">
        <w:rPr>
          <w:rStyle w:val="Refdenotaalfinal"/>
          <w:rFonts w:ascii="Arial" w:hAnsi="Arial" w:cs="Arial"/>
          <w:sz w:val="24"/>
          <w:szCs w:val="24"/>
        </w:rPr>
        <w:endnoteReference w:id="14"/>
      </w:r>
      <w:r w:rsidR="00C92BA6" w:rsidRPr="00650DAE">
        <w:rPr>
          <w:rFonts w:ascii="Arial" w:hAnsi="Arial" w:cs="Arial"/>
          <w:sz w:val="24"/>
          <w:szCs w:val="24"/>
        </w:rPr>
        <w:t xml:space="preserve">  y en Cuba se describen asociaciones de la </w:t>
      </w:r>
      <w:r w:rsidR="001858DC" w:rsidRPr="00650DAE">
        <w:rPr>
          <w:rFonts w:ascii="Arial" w:hAnsi="Arial" w:cs="Arial"/>
          <w:sz w:val="24"/>
          <w:szCs w:val="24"/>
        </w:rPr>
        <w:t>COVID</w:t>
      </w:r>
      <w:r w:rsidR="00C92BA6" w:rsidRPr="00650DAE">
        <w:rPr>
          <w:rFonts w:ascii="Arial" w:hAnsi="Arial" w:cs="Arial"/>
          <w:sz w:val="24"/>
          <w:szCs w:val="24"/>
        </w:rPr>
        <w:t xml:space="preserve"> con otros procesos</w:t>
      </w:r>
      <w:r w:rsidR="001858DC" w:rsidRPr="00650DAE">
        <w:rPr>
          <w:rStyle w:val="Refdenotaalfinal"/>
          <w:rFonts w:ascii="Arial" w:hAnsi="Arial" w:cs="Arial"/>
          <w:sz w:val="24"/>
          <w:szCs w:val="24"/>
        </w:rPr>
        <w:endnoteReference w:id="15"/>
      </w:r>
      <w:r w:rsidR="001858DC" w:rsidRPr="00650DAE">
        <w:rPr>
          <w:rFonts w:ascii="Arial" w:hAnsi="Arial" w:cs="Arial"/>
          <w:sz w:val="24"/>
          <w:szCs w:val="24"/>
        </w:rPr>
        <w:t>, aunque las autoras no encontraron reportes de coinfección dengue-COVID en la literatura nacional, no descartan su ocurrencia.</w:t>
      </w:r>
      <w:r w:rsidR="00B30994" w:rsidRPr="00650DAE">
        <w:rPr>
          <w:rFonts w:ascii="Arial" w:hAnsi="Arial" w:cs="Arial"/>
          <w:sz w:val="24"/>
          <w:szCs w:val="24"/>
        </w:rPr>
        <w:t xml:space="preserve"> Los reportes de coinfección nos muestran inicialmente síntomas sugestivos del COVID-19, con un cuadro del dengue sin signos de alarma que empeora la leucopenia y la trombocitopenia, pero con poco compromiso pulmonar, y sin coincidir las fases críticas de ambas enfermedades; si bien la presencia del serotipo 1 del dengue en los casos reportados nos llevaría a pensar que existiera mayor relación y una predilección entre ambos, se desconoce hasta el momento,</w:t>
      </w:r>
      <w:r w:rsidR="00B30994" w:rsidRPr="00650DAE">
        <w:rPr>
          <w:rStyle w:val="Refdenotaalfinal"/>
          <w:rFonts w:ascii="Arial" w:hAnsi="Arial" w:cs="Arial"/>
          <w:sz w:val="24"/>
          <w:szCs w:val="24"/>
        </w:rPr>
        <w:endnoteReference w:id="16"/>
      </w:r>
      <w:r w:rsidR="00B30994" w:rsidRPr="00650DAE">
        <w:rPr>
          <w:rFonts w:ascii="Arial" w:hAnsi="Arial" w:cs="Arial"/>
          <w:sz w:val="24"/>
          <w:szCs w:val="24"/>
        </w:rPr>
        <w:t xml:space="preserve"> -</w:t>
      </w:r>
      <w:r w:rsidR="00B30994" w:rsidRPr="00650DAE">
        <w:rPr>
          <w:rStyle w:val="Refdenotaalfinal"/>
          <w:rFonts w:ascii="Arial" w:hAnsi="Arial" w:cs="Arial"/>
          <w:sz w:val="24"/>
          <w:szCs w:val="24"/>
        </w:rPr>
        <w:endnoteReference w:id="17"/>
      </w:r>
      <w:r w:rsidR="00B30994" w:rsidRPr="00650DAE">
        <w:rPr>
          <w:rFonts w:ascii="Arial" w:hAnsi="Arial" w:cs="Arial"/>
          <w:sz w:val="24"/>
          <w:szCs w:val="24"/>
        </w:rPr>
        <w:t xml:space="preserve"> algunos de ellos sin necesidad de ser hospitalizados y de manejo ambulatorio.</w:t>
      </w:r>
      <w:r w:rsidR="00B30994" w:rsidRPr="00650DAE">
        <w:rPr>
          <w:rStyle w:val="Refdenotaalfinal"/>
          <w:rFonts w:ascii="Arial" w:hAnsi="Arial" w:cs="Arial"/>
          <w:sz w:val="24"/>
          <w:szCs w:val="24"/>
        </w:rPr>
        <w:endnoteReference w:id="18"/>
      </w:r>
    </w:p>
    <w:p w:rsidR="00D216C6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 xml:space="preserve">Valor de </w:t>
      </w:r>
      <w:r w:rsidR="00C92BA6" w:rsidRPr="00650DAE">
        <w:rPr>
          <w:rFonts w:ascii="Arial" w:hAnsi="Arial" w:cs="Arial"/>
          <w:b/>
          <w:sz w:val="24"/>
          <w:szCs w:val="24"/>
        </w:rPr>
        <w:t>marcadores</w:t>
      </w:r>
      <w:r w:rsidRPr="00650DAE">
        <w:rPr>
          <w:rFonts w:ascii="Arial" w:hAnsi="Arial" w:cs="Arial"/>
          <w:b/>
          <w:sz w:val="24"/>
          <w:szCs w:val="24"/>
        </w:rPr>
        <w:t xml:space="preserve"> pronóstico</w:t>
      </w:r>
      <w:r w:rsidR="00650DAE" w:rsidRPr="00650DAE">
        <w:rPr>
          <w:rFonts w:ascii="Arial" w:hAnsi="Arial" w:cs="Arial"/>
          <w:b/>
          <w:sz w:val="24"/>
          <w:szCs w:val="24"/>
        </w:rPr>
        <w:t xml:space="preserve">: </w:t>
      </w:r>
      <w:r w:rsidR="00EC7762">
        <w:rPr>
          <w:rFonts w:ascii="Arial" w:hAnsi="Arial" w:cs="Arial"/>
          <w:sz w:val="24"/>
          <w:szCs w:val="24"/>
        </w:rPr>
        <w:t>S</w:t>
      </w:r>
      <w:r w:rsidR="00CD3464" w:rsidRPr="00650DAE">
        <w:rPr>
          <w:rFonts w:ascii="Arial" w:hAnsi="Arial" w:cs="Arial"/>
          <w:sz w:val="24"/>
          <w:szCs w:val="24"/>
        </w:rPr>
        <w:t>e hacen numerosos esfuerzos para identificar marcadores en el suero que puedan predecir la severidad del dengue</w:t>
      </w:r>
      <w:r w:rsidR="00952892" w:rsidRPr="00650DAE">
        <w:rPr>
          <w:rFonts w:ascii="Arial" w:hAnsi="Arial" w:cs="Arial"/>
          <w:sz w:val="24"/>
          <w:szCs w:val="24"/>
        </w:rPr>
        <w:t>, con énfasis en las citoquinas</w:t>
      </w:r>
      <w:r w:rsidR="00CD3464" w:rsidRPr="00650DAE">
        <w:rPr>
          <w:rFonts w:ascii="Arial" w:hAnsi="Arial" w:cs="Arial"/>
          <w:sz w:val="24"/>
          <w:szCs w:val="24"/>
        </w:rPr>
        <w:t xml:space="preserve">. Se observan niveles elevados </w:t>
      </w:r>
      <w:r w:rsidR="00EC7762">
        <w:rPr>
          <w:rFonts w:ascii="Arial" w:hAnsi="Arial" w:cs="Arial"/>
          <w:sz w:val="24"/>
          <w:szCs w:val="24"/>
        </w:rPr>
        <w:t>estas</w:t>
      </w:r>
      <w:r w:rsidR="00CD3464" w:rsidRPr="00650DAE">
        <w:rPr>
          <w:rFonts w:ascii="Arial" w:hAnsi="Arial" w:cs="Arial"/>
          <w:sz w:val="24"/>
          <w:szCs w:val="24"/>
        </w:rPr>
        <w:t xml:space="preserve"> en la infección del dengue, en particular, en el suero de pacientes con dengue severo altas concentraciones de cito</w:t>
      </w:r>
      <w:r w:rsidR="00EC7762">
        <w:rPr>
          <w:rFonts w:ascii="Arial" w:hAnsi="Arial" w:cs="Arial"/>
          <w:sz w:val="24"/>
          <w:szCs w:val="24"/>
        </w:rPr>
        <w:t>quinas como IFNα, FNTα e IL-10</w:t>
      </w:r>
      <w:r w:rsidR="00CD3464" w:rsidRPr="00650DAE">
        <w:rPr>
          <w:rFonts w:ascii="Arial" w:hAnsi="Arial" w:cs="Arial"/>
          <w:sz w:val="24"/>
          <w:szCs w:val="24"/>
        </w:rPr>
        <w:t>. Este fenómeno puede, en parte, contribuir al desarrollo de los trastornos de la coagulación observados como complicación en la enfermedad severa</w:t>
      </w:r>
      <w:r w:rsidR="00120C2B" w:rsidRPr="00650DAE">
        <w:rPr>
          <w:rFonts w:ascii="Arial" w:hAnsi="Arial" w:cs="Arial"/>
          <w:sz w:val="24"/>
          <w:szCs w:val="24"/>
        </w:rPr>
        <w:t xml:space="preserve">. </w:t>
      </w:r>
      <w:r w:rsidR="00CD3464" w:rsidRPr="00650DAE">
        <w:rPr>
          <w:rFonts w:ascii="Arial" w:hAnsi="Arial" w:cs="Arial"/>
          <w:sz w:val="24"/>
          <w:szCs w:val="24"/>
        </w:rPr>
        <w:t>Otro mediador de interés es el Tumor Necrosis Factor-</w:t>
      </w:r>
      <w:proofErr w:type="spellStart"/>
      <w:r w:rsidR="00CD3464" w:rsidRPr="00650DAE">
        <w:rPr>
          <w:rFonts w:ascii="Arial" w:hAnsi="Arial" w:cs="Arial"/>
          <w:sz w:val="24"/>
          <w:szCs w:val="24"/>
        </w:rPr>
        <w:t>Related</w:t>
      </w:r>
      <w:proofErr w:type="spellEnd"/>
      <w:r w:rsidR="00CD3464" w:rsidRPr="00650DAE">
        <w:rPr>
          <w:rFonts w:ascii="Arial" w:hAnsi="Arial" w:cs="Arial"/>
          <w:sz w:val="24"/>
          <w:szCs w:val="24"/>
        </w:rPr>
        <w:t xml:space="preserve"> Apoptosis-</w:t>
      </w:r>
      <w:proofErr w:type="spellStart"/>
      <w:r w:rsidR="00CD3464" w:rsidRPr="00650DAE">
        <w:rPr>
          <w:rFonts w:ascii="Arial" w:hAnsi="Arial" w:cs="Arial"/>
          <w:sz w:val="24"/>
          <w:szCs w:val="24"/>
        </w:rPr>
        <w:t>Inducing</w:t>
      </w:r>
      <w:proofErr w:type="spellEnd"/>
      <w:r w:rsidR="00CD3464" w:rsidRPr="00650D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464" w:rsidRPr="00650DAE">
        <w:rPr>
          <w:rFonts w:ascii="Arial" w:hAnsi="Arial" w:cs="Arial"/>
          <w:sz w:val="24"/>
          <w:szCs w:val="24"/>
        </w:rPr>
        <w:t>Ligand</w:t>
      </w:r>
      <w:proofErr w:type="spellEnd"/>
      <w:r w:rsidR="00CD3464" w:rsidRPr="00650DAE">
        <w:rPr>
          <w:rFonts w:ascii="Arial" w:hAnsi="Arial" w:cs="Arial"/>
          <w:sz w:val="24"/>
          <w:szCs w:val="24"/>
        </w:rPr>
        <w:t xml:space="preserve">, </w:t>
      </w:r>
      <w:r w:rsidR="00650DAE" w:rsidRPr="00650DAE">
        <w:rPr>
          <w:rFonts w:ascii="Arial" w:hAnsi="Arial" w:cs="Arial"/>
          <w:sz w:val="24"/>
          <w:szCs w:val="24"/>
        </w:rPr>
        <w:t>(</w:t>
      </w:r>
      <w:r w:rsidR="00CD3464" w:rsidRPr="00650DAE">
        <w:rPr>
          <w:rFonts w:ascii="Arial" w:hAnsi="Arial" w:cs="Arial"/>
          <w:sz w:val="24"/>
          <w:szCs w:val="24"/>
        </w:rPr>
        <w:t>TRAIL</w:t>
      </w:r>
      <w:r w:rsidR="00650DAE" w:rsidRPr="00650DAE">
        <w:rPr>
          <w:rFonts w:ascii="Arial" w:hAnsi="Arial" w:cs="Arial"/>
          <w:sz w:val="24"/>
          <w:szCs w:val="24"/>
        </w:rPr>
        <w:t>)</w:t>
      </w:r>
      <w:r w:rsidR="00CD3464" w:rsidRPr="00650DAE">
        <w:rPr>
          <w:rFonts w:ascii="Arial" w:hAnsi="Arial" w:cs="Arial"/>
          <w:sz w:val="24"/>
          <w:szCs w:val="24"/>
        </w:rPr>
        <w:t>, que regula la replicación de monocitos infectados con el virus del dengue</w:t>
      </w:r>
      <w:r w:rsidR="00120C2B" w:rsidRPr="00650DAE">
        <w:rPr>
          <w:rFonts w:ascii="Arial" w:hAnsi="Arial" w:cs="Arial"/>
          <w:sz w:val="24"/>
          <w:szCs w:val="24"/>
        </w:rPr>
        <w:t xml:space="preserve">. </w:t>
      </w:r>
      <w:r w:rsidR="00CD3464" w:rsidRPr="00650DAE">
        <w:rPr>
          <w:rFonts w:ascii="Arial" w:hAnsi="Arial" w:cs="Arial"/>
          <w:sz w:val="24"/>
          <w:szCs w:val="24"/>
        </w:rPr>
        <w:t xml:space="preserve">En otros estudios se asocian los niveles de la proteína 1 de tipo receptor de interleucina-1, llamada IL-1RL1 o proteína ST2 con la fiebre por dengue con valores mayores en aquellos que sufren infección secundaria, lo cual sugiere una posible asociación con la </w:t>
      </w:r>
      <w:r w:rsidR="00CD3464" w:rsidRPr="00650DAE">
        <w:rPr>
          <w:rFonts w:ascii="Arial" w:hAnsi="Arial" w:cs="Arial"/>
          <w:sz w:val="24"/>
          <w:szCs w:val="24"/>
        </w:rPr>
        <w:lastRenderedPageBreak/>
        <w:t>gravedad de la enfermedad</w:t>
      </w:r>
      <w:r w:rsidR="00120C2B" w:rsidRPr="00650DAE">
        <w:rPr>
          <w:rFonts w:ascii="Arial" w:hAnsi="Arial" w:cs="Arial"/>
          <w:sz w:val="24"/>
          <w:szCs w:val="24"/>
        </w:rPr>
        <w:t xml:space="preserve">, se piensa </w:t>
      </w:r>
      <w:r w:rsidR="00CD3464" w:rsidRPr="00650DAE">
        <w:rPr>
          <w:rFonts w:ascii="Arial" w:hAnsi="Arial" w:cs="Arial"/>
          <w:sz w:val="24"/>
          <w:szCs w:val="24"/>
        </w:rPr>
        <w:t>podría ser un marcador temprano d</w:t>
      </w:r>
      <w:r w:rsidR="00120C2B" w:rsidRPr="00650DAE">
        <w:rPr>
          <w:rFonts w:ascii="Arial" w:hAnsi="Arial" w:cs="Arial"/>
          <w:sz w:val="24"/>
          <w:szCs w:val="24"/>
        </w:rPr>
        <w:t xml:space="preserve">e la gravedad del dengue. </w:t>
      </w:r>
      <w:r w:rsidR="00CD3464" w:rsidRPr="00650DAE">
        <w:rPr>
          <w:rFonts w:ascii="Arial" w:hAnsi="Arial" w:cs="Arial"/>
          <w:sz w:val="24"/>
          <w:szCs w:val="24"/>
        </w:rPr>
        <w:t>Las ferritinas pueden servir como un potencial biomarcador para la predicción temp</w:t>
      </w:r>
      <w:r w:rsidR="00120C2B" w:rsidRPr="00650DAE">
        <w:rPr>
          <w:rFonts w:ascii="Arial" w:hAnsi="Arial" w:cs="Arial"/>
          <w:sz w:val="24"/>
          <w:szCs w:val="24"/>
        </w:rPr>
        <w:t xml:space="preserve">rana de la severidad </w:t>
      </w:r>
      <w:proofErr w:type="spellStart"/>
      <w:r w:rsidR="00650DAE" w:rsidRPr="00650DAE">
        <w:rPr>
          <w:rFonts w:ascii="Arial" w:hAnsi="Arial" w:cs="Arial"/>
          <w:sz w:val="24"/>
          <w:szCs w:val="24"/>
        </w:rPr>
        <w:t>asi</w:t>
      </w:r>
      <w:proofErr w:type="spellEnd"/>
      <w:r w:rsidR="00650DAE" w:rsidRPr="00650DAE">
        <w:rPr>
          <w:rFonts w:ascii="Arial" w:hAnsi="Arial" w:cs="Arial"/>
          <w:sz w:val="24"/>
          <w:szCs w:val="24"/>
        </w:rPr>
        <w:t xml:space="preserve"> como</w:t>
      </w:r>
      <w:r w:rsidR="00CD3464" w:rsidRPr="00650DAE">
        <w:rPr>
          <w:rFonts w:ascii="Arial" w:hAnsi="Arial" w:cs="Arial"/>
          <w:sz w:val="24"/>
          <w:szCs w:val="24"/>
        </w:rPr>
        <w:t xml:space="preserve"> los niveles elevados de células rojas d</w:t>
      </w:r>
      <w:r w:rsidR="00650DAE" w:rsidRPr="00650DAE">
        <w:rPr>
          <w:rFonts w:ascii="Arial" w:hAnsi="Arial" w:cs="Arial"/>
          <w:sz w:val="24"/>
          <w:szCs w:val="24"/>
        </w:rPr>
        <w:t>erivadas de las micropartículas</w:t>
      </w:r>
      <w:r w:rsidR="00CD3464" w:rsidRPr="00650DAE">
        <w:rPr>
          <w:rFonts w:ascii="Arial" w:hAnsi="Arial" w:cs="Arial"/>
          <w:sz w:val="24"/>
          <w:szCs w:val="24"/>
        </w:rPr>
        <w:t xml:space="preserve"> en la fase aguda de la enfermedad.</w:t>
      </w:r>
      <w:r w:rsidR="00120C2B" w:rsidRPr="00650DAE">
        <w:rPr>
          <w:rStyle w:val="Refdenotaalfinal"/>
          <w:rFonts w:ascii="Arial" w:hAnsi="Arial" w:cs="Arial"/>
          <w:sz w:val="24"/>
          <w:szCs w:val="24"/>
        </w:rPr>
        <w:endnoteReference w:id="19"/>
      </w:r>
      <w:r w:rsidR="00EC7762">
        <w:rPr>
          <w:rFonts w:ascii="Arial" w:hAnsi="Arial" w:cs="Arial"/>
          <w:sz w:val="24"/>
          <w:szCs w:val="24"/>
        </w:rPr>
        <w:t xml:space="preserve"> </w:t>
      </w:r>
      <w:r w:rsidR="008300AD" w:rsidRPr="00650DAE">
        <w:rPr>
          <w:rFonts w:ascii="Arial" w:hAnsi="Arial" w:cs="Arial"/>
          <w:sz w:val="24"/>
          <w:szCs w:val="24"/>
        </w:rPr>
        <w:t xml:space="preserve">En el COVID-19 el dímero D elevado se ha asociado con una mayor tasa de mortalidad. En pacientes más severamente afectados se puede desarrollar una coagulopatía intravascular diseminada (CID) que a diferencia de la CID clásica por sepsis o traumatismo, la prolongación de los tiempos de coagulación es mínima, la trombocitopenia es leve, la </w:t>
      </w:r>
      <w:proofErr w:type="spellStart"/>
      <w:r w:rsidR="008300AD" w:rsidRPr="00650DAE">
        <w:rPr>
          <w:rFonts w:ascii="Arial" w:hAnsi="Arial" w:cs="Arial"/>
          <w:sz w:val="24"/>
          <w:szCs w:val="24"/>
        </w:rPr>
        <w:t>hipofibrinogemia</w:t>
      </w:r>
      <w:proofErr w:type="spellEnd"/>
      <w:r w:rsidR="008300AD" w:rsidRPr="00650DAE">
        <w:rPr>
          <w:rFonts w:ascii="Arial" w:hAnsi="Arial" w:cs="Arial"/>
          <w:sz w:val="24"/>
          <w:szCs w:val="24"/>
        </w:rPr>
        <w:t xml:space="preserve"> es rara y los resultados de laboratorio que respaldan la hiperfibrinólisis son poco comunes. Algunos autores mostraron que los pacientes COVID-19 con trombocitopenia tenían un volumen plaquetario medio (VPM) significativamente mayor que los pacientes con COVID-19 con recuentos de plaquetas nor</w:t>
      </w:r>
      <w:r w:rsidR="002733E4" w:rsidRPr="00650DAE">
        <w:rPr>
          <w:rFonts w:ascii="Arial" w:hAnsi="Arial" w:cs="Arial"/>
          <w:sz w:val="24"/>
          <w:szCs w:val="24"/>
        </w:rPr>
        <w:t>males</w:t>
      </w:r>
      <w:r w:rsidR="008300AD" w:rsidRPr="00650DAE">
        <w:rPr>
          <w:rFonts w:ascii="Arial" w:hAnsi="Arial" w:cs="Arial"/>
          <w:sz w:val="24"/>
          <w:szCs w:val="24"/>
        </w:rPr>
        <w:t>. Estos hallazgos sugieren que la enfermedad está asociada con el aumento de la producción de grandes plaquetas inmaduras.</w:t>
      </w:r>
      <w:r w:rsidR="00D216C6" w:rsidRPr="00650DAE">
        <w:rPr>
          <w:rStyle w:val="Refdenotaalfinal"/>
          <w:rFonts w:ascii="Arial" w:hAnsi="Arial" w:cs="Arial"/>
          <w:sz w:val="24"/>
          <w:szCs w:val="24"/>
        </w:rPr>
        <w:endnoteReference w:id="20"/>
      </w:r>
      <w:r w:rsidR="00650DAE" w:rsidRPr="00650DAE">
        <w:rPr>
          <w:rFonts w:ascii="Arial" w:hAnsi="Arial" w:cs="Arial"/>
          <w:sz w:val="24"/>
          <w:szCs w:val="24"/>
        </w:rPr>
        <w:t xml:space="preserve"> </w:t>
      </w:r>
      <w:r w:rsidR="00D216C6" w:rsidRPr="00650DAE">
        <w:rPr>
          <w:rFonts w:ascii="Arial" w:hAnsi="Arial" w:cs="Arial"/>
          <w:sz w:val="24"/>
          <w:szCs w:val="24"/>
        </w:rPr>
        <w:t>El índice neutrófilo-linfocito (INL) constituye un novedoso marcador de inflamación subclínica con valor pronóstico en enfermedades cardiovasculares, oncológicas e infecciosas.</w:t>
      </w:r>
      <w:r w:rsidR="00D216C6" w:rsidRPr="00650DAE">
        <w:rPr>
          <w:rStyle w:val="Refdenotaalfinal"/>
          <w:rFonts w:ascii="Arial" w:hAnsi="Arial" w:cs="Arial"/>
          <w:sz w:val="24"/>
          <w:szCs w:val="24"/>
        </w:rPr>
        <w:endnoteReference w:id="21"/>
      </w:r>
      <w:r w:rsidR="00D216C6" w:rsidRPr="00650DAE">
        <w:rPr>
          <w:rFonts w:ascii="Arial" w:hAnsi="Arial" w:cs="Arial"/>
          <w:sz w:val="24"/>
          <w:szCs w:val="24"/>
        </w:rPr>
        <w:t>-</w:t>
      </w:r>
      <w:r w:rsidR="00D216C6" w:rsidRPr="00650DAE">
        <w:rPr>
          <w:rStyle w:val="Refdenotaalfinal"/>
          <w:rFonts w:ascii="Arial" w:hAnsi="Arial" w:cs="Arial"/>
          <w:sz w:val="24"/>
          <w:szCs w:val="24"/>
        </w:rPr>
        <w:endnoteReference w:id="22"/>
      </w:r>
      <w:r w:rsidR="00D216C6" w:rsidRPr="00650DAE">
        <w:rPr>
          <w:rFonts w:ascii="Arial" w:hAnsi="Arial" w:cs="Arial"/>
          <w:sz w:val="24"/>
          <w:szCs w:val="24"/>
        </w:rPr>
        <w:t xml:space="preserve"> El INL se puede obtener a partir de los datos del hemograma, lo cual representa un costo mucho menor con respecto a los otros marcadores conocidos</w:t>
      </w:r>
      <w:r w:rsidR="00F41AF4" w:rsidRPr="00650DAE">
        <w:rPr>
          <w:rFonts w:ascii="Arial" w:hAnsi="Arial" w:cs="Arial"/>
          <w:sz w:val="24"/>
          <w:szCs w:val="24"/>
        </w:rPr>
        <w:t>. Varios trabajos publicados sugieren que un aumento en el INL predice enfermedad grave por COVID-19.</w:t>
      </w:r>
      <w:r w:rsidR="00F41AF4" w:rsidRPr="00650DAE">
        <w:rPr>
          <w:rStyle w:val="Refdenotaalfinal"/>
          <w:rFonts w:ascii="Arial" w:hAnsi="Arial" w:cs="Arial"/>
          <w:sz w:val="24"/>
          <w:szCs w:val="24"/>
        </w:rPr>
        <w:endnoteReference w:id="23"/>
      </w:r>
      <w:r w:rsidR="00F41AF4" w:rsidRPr="00650DAE">
        <w:rPr>
          <w:rFonts w:ascii="Arial" w:hAnsi="Arial" w:cs="Arial"/>
          <w:sz w:val="24"/>
          <w:szCs w:val="24"/>
        </w:rPr>
        <w:t>-</w:t>
      </w:r>
      <w:r w:rsidR="00F41AF4" w:rsidRPr="00650DAE">
        <w:rPr>
          <w:rStyle w:val="Refdenotaalfinal"/>
          <w:rFonts w:ascii="Arial" w:hAnsi="Arial" w:cs="Arial"/>
          <w:sz w:val="24"/>
          <w:szCs w:val="24"/>
        </w:rPr>
        <w:endnoteReference w:id="24"/>
      </w:r>
      <w:r w:rsidR="00F41AF4" w:rsidRPr="00650DAE">
        <w:rPr>
          <w:rFonts w:ascii="Arial" w:hAnsi="Arial" w:cs="Arial"/>
          <w:sz w:val="24"/>
          <w:szCs w:val="24"/>
        </w:rPr>
        <w:t>-</w:t>
      </w:r>
      <w:r w:rsidR="00F41AF4" w:rsidRPr="00650DAE">
        <w:rPr>
          <w:rStyle w:val="Refdenotaalfinal"/>
          <w:rFonts w:ascii="Arial" w:hAnsi="Arial" w:cs="Arial"/>
          <w:sz w:val="24"/>
          <w:szCs w:val="24"/>
        </w:rPr>
        <w:endnoteReference w:id="25"/>
      </w:r>
    </w:p>
    <w:p w:rsidR="00DA7F7F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Vacunas</w:t>
      </w:r>
      <w:r w:rsidR="00650DAE" w:rsidRPr="00650DAE">
        <w:rPr>
          <w:rFonts w:ascii="Arial" w:hAnsi="Arial" w:cs="Arial"/>
          <w:b/>
          <w:sz w:val="24"/>
          <w:szCs w:val="24"/>
        </w:rPr>
        <w:t xml:space="preserve">: </w:t>
      </w:r>
      <w:r w:rsidR="00C92BA6" w:rsidRPr="00650DAE">
        <w:rPr>
          <w:rFonts w:ascii="Arial" w:hAnsi="Arial" w:cs="Arial"/>
          <w:sz w:val="24"/>
          <w:szCs w:val="24"/>
        </w:rPr>
        <w:t xml:space="preserve">La Administración de Alimentos y Medicamentos de los Estados Unidos (FDA) aprobó en mayo del 2019 el uso de </w:t>
      </w:r>
      <w:proofErr w:type="spellStart"/>
      <w:r w:rsidR="00C92BA6" w:rsidRPr="00650DAE">
        <w:rPr>
          <w:rFonts w:ascii="Arial" w:hAnsi="Arial" w:cs="Arial"/>
          <w:sz w:val="24"/>
          <w:szCs w:val="24"/>
        </w:rPr>
        <w:t>Dengvaxia</w:t>
      </w:r>
      <w:proofErr w:type="spellEnd"/>
      <w:r w:rsidR="00C92BA6" w:rsidRPr="00650DAE">
        <w:rPr>
          <w:rFonts w:ascii="Arial" w:hAnsi="Arial" w:cs="Arial"/>
          <w:sz w:val="24"/>
          <w:szCs w:val="24"/>
        </w:rPr>
        <w:t>® una vacuna tetravalente para los cuatro serotipos de dengue para niños de entre 9 y 16 años de zonas endémicas (los territorios estadounidenses de Samoa Estadounidense, Guam, Puerto Rico y las Islas Vírgenes de los Estados Unidos) y que hayan tenido una infección previa por el virus del dengue confirmada por laboratorio.  Esta vacuna ha sido aprobada para su uso en alrededor de 20 países hasta la fecha.</w:t>
      </w:r>
      <w:r w:rsidR="00C92BA6" w:rsidRPr="00650DAE">
        <w:rPr>
          <w:rStyle w:val="Refdenotaalfinal"/>
          <w:rFonts w:ascii="Arial" w:hAnsi="Arial" w:cs="Arial"/>
          <w:sz w:val="24"/>
          <w:szCs w:val="24"/>
        </w:rPr>
        <w:endnoteReference w:id="26"/>
      </w:r>
      <w:r w:rsidR="00C92BA6" w:rsidRPr="00650DAE">
        <w:rPr>
          <w:rFonts w:ascii="Arial" w:hAnsi="Arial" w:cs="Arial"/>
          <w:sz w:val="24"/>
          <w:szCs w:val="24"/>
        </w:rPr>
        <w:t xml:space="preserve"> En Cuba se han desarrollado investigaciones encaminadas a candidatos vacunales contra el virus del dengue</w:t>
      </w:r>
      <w:r w:rsidR="00EC7762">
        <w:rPr>
          <w:rFonts w:ascii="Arial" w:hAnsi="Arial" w:cs="Arial"/>
          <w:sz w:val="24"/>
          <w:szCs w:val="24"/>
        </w:rPr>
        <w:t xml:space="preserve"> que se</w:t>
      </w:r>
      <w:r w:rsidR="00C92BA6" w:rsidRPr="00650DAE">
        <w:rPr>
          <w:rFonts w:ascii="Arial" w:hAnsi="Arial" w:cs="Arial"/>
          <w:sz w:val="24"/>
          <w:szCs w:val="24"/>
        </w:rPr>
        <w:t xml:space="preserve"> han materializado en una vacuna tetravalente contra el virus, la cual se encuentra en ensayo clínico, aun en su fase preclínica.</w:t>
      </w:r>
      <w:r w:rsidR="00C92BA6" w:rsidRPr="00650DAE">
        <w:rPr>
          <w:rStyle w:val="Refdenotaalfinal"/>
          <w:rFonts w:ascii="Arial" w:hAnsi="Arial" w:cs="Arial"/>
          <w:sz w:val="24"/>
          <w:szCs w:val="24"/>
        </w:rPr>
        <w:endnoteReference w:id="27"/>
      </w:r>
    </w:p>
    <w:p w:rsidR="00310548" w:rsidRPr="00650DAE" w:rsidRDefault="00243A2C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650DAE">
        <w:rPr>
          <w:rFonts w:ascii="Arial" w:hAnsi="Arial" w:cs="Arial"/>
          <w:sz w:val="24"/>
          <w:szCs w:val="24"/>
        </w:rPr>
        <w:lastRenderedPageBreak/>
        <w:t>La prevención mediante vacunas contra la COVID-19 sigue siendo la mejor herramienta para poder establecer mecanismos de protección contra el virus, ya que ha favorecido una disminución sustancial de las hospitalizaciones</w:t>
      </w:r>
      <w:r w:rsidR="002733E4" w:rsidRPr="00650DAE">
        <w:rPr>
          <w:rFonts w:ascii="Arial" w:hAnsi="Arial" w:cs="Arial"/>
          <w:sz w:val="24"/>
          <w:szCs w:val="24"/>
        </w:rPr>
        <w:t xml:space="preserve"> y mortalidad asociadas</w:t>
      </w:r>
      <w:r w:rsidRPr="00650DAE">
        <w:rPr>
          <w:rFonts w:ascii="Arial" w:hAnsi="Arial" w:cs="Arial"/>
          <w:sz w:val="24"/>
          <w:szCs w:val="24"/>
        </w:rPr>
        <w:t>.</w:t>
      </w:r>
      <w:r w:rsidRPr="00650DAE">
        <w:rPr>
          <w:rStyle w:val="Refdenotaalfinal"/>
          <w:rFonts w:ascii="Arial" w:hAnsi="Arial" w:cs="Arial"/>
          <w:sz w:val="24"/>
          <w:szCs w:val="24"/>
        </w:rPr>
        <w:t xml:space="preserve"> </w:t>
      </w:r>
      <w:r w:rsidRPr="00650DAE">
        <w:rPr>
          <w:rStyle w:val="Refdenotaalfinal"/>
          <w:rFonts w:ascii="Arial" w:hAnsi="Arial" w:cs="Arial"/>
          <w:sz w:val="24"/>
          <w:szCs w:val="24"/>
        </w:rPr>
        <w:endnoteReference w:id="28"/>
      </w:r>
      <w:r w:rsidR="002733E4" w:rsidRPr="00650DAE">
        <w:rPr>
          <w:rFonts w:ascii="Arial" w:hAnsi="Arial" w:cs="Arial"/>
          <w:sz w:val="24"/>
          <w:szCs w:val="24"/>
        </w:rPr>
        <w:t xml:space="preserve"> </w:t>
      </w:r>
      <w:r w:rsidR="00310548" w:rsidRPr="00650DAE">
        <w:rPr>
          <w:rFonts w:ascii="Arial" w:hAnsi="Arial" w:cs="Arial"/>
          <w:sz w:val="24"/>
          <w:szCs w:val="24"/>
        </w:rPr>
        <w:t xml:space="preserve">En el instrumento de seguimiento del desarrollo de vacunas de la </w:t>
      </w:r>
      <w:r w:rsidR="00B04AB3" w:rsidRPr="00650DAE">
        <w:rPr>
          <w:rFonts w:ascii="Arial" w:hAnsi="Arial" w:cs="Arial"/>
          <w:sz w:val="24"/>
          <w:szCs w:val="24"/>
        </w:rPr>
        <w:t>COVID</w:t>
      </w:r>
      <w:r w:rsidR="00310548" w:rsidRPr="00650DAE">
        <w:rPr>
          <w:rFonts w:ascii="Arial" w:hAnsi="Arial" w:cs="Arial"/>
          <w:sz w:val="24"/>
          <w:szCs w:val="24"/>
        </w:rPr>
        <w:t xml:space="preserve"> de la OMS, se incluyen dos vacunas cubanas con 6 estudios clínicos en marcha (dos en fases 1 y 2, uno en fase 1/2 y otro en fase 3).</w:t>
      </w:r>
      <w:r w:rsidR="00B04AB3" w:rsidRPr="00650DAE">
        <w:rPr>
          <w:rFonts w:ascii="Arial" w:hAnsi="Arial" w:cs="Arial"/>
          <w:sz w:val="24"/>
          <w:szCs w:val="24"/>
        </w:rPr>
        <w:t xml:space="preserve"> Cuba a través del </w:t>
      </w:r>
      <w:r w:rsidR="00310548" w:rsidRPr="00650DAE">
        <w:rPr>
          <w:rFonts w:ascii="Arial" w:hAnsi="Arial" w:cs="Arial"/>
          <w:sz w:val="24"/>
          <w:szCs w:val="24"/>
        </w:rPr>
        <w:t>Instituto Finlay</w:t>
      </w:r>
      <w:r w:rsidR="00B04AB3" w:rsidRPr="00650DAE">
        <w:rPr>
          <w:rFonts w:ascii="Arial" w:hAnsi="Arial" w:cs="Arial"/>
          <w:sz w:val="24"/>
          <w:szCs w:val="24"/>
        </w:rPr>
        <w:t xml:space="preserve"> desarroll</w:t>
      </w:r>
      <w:r w:rsidR="002733E4" w:rsidRPr="00650DAE">
        <w:rPr>
          <w:rFonts w:ascii="Arial" w:hAnsi="Arial" w:cs="Arial"/>
          <w:sz w:val="24"/>
          <w:szCs w:val="24"/>
        </w:rPr>
        <w:t>ó</w:t>
      </w:r>
      <w:r w:rsidR="00B04AB3" w:rsidRPr="00650DAE">
        <w:rPr>
          <w:rFonts w:ascii="Arial" w:hAnsi="Arial" w:cs="Arial"/>
          <w:sz w:val="24"/>
          <w:szCs w:val="24"/>
        </w:rPr>
        <w:t xml:space="preserve"> tres candidatos vacunales</w:t>
      </w:r>
      <w:r w:rsidR="002733E4" w:rsidRPr="00650DAE">
        <w:rPr>
          <w:rFonts w:ascii="Arial" w:hAnsi="Arial" w:cs="Arial"/>
          <w:sz w:val="24"/>
          <w:szCs w:val="24"/>
        </w:rPr>
        <w:t>: Soberana 01, Soberana 02</w:t>
      </w:r>
      <w:r w:rsidR="00310548" w:rsidRPr="00650DAE">
        <w:rPr>
          <w:rFonts w:ascii="Arial" w:hAnsi="Arial" w:cs="Arial"/>
          <w:sz w:val="24"/>
          <w:szCs w:val="24"/>
        </w:rPr>
        <w:t xml:space="preserve"> y Soberana Plus</w:t>
      </w:r>
      <w:r w:rsidR="002733E4" w:rsidRPr="00650DAE">
        <w:rPr>
          <w:rFonts w:ascii="Arial" w:hAnsi="Arial" w:cs="Arial"/>
          <w:sz w:val="24"/>
          <w:szCs w:val="24"/>
        </w:rPr>
        <w:t xml:space="preserve">, </w:t>
      </w:r>
      <w:r w:rsidR="00B04AB3" w:rsidRPr="00650DAE">
        <w:rPr>
          <w:rFonts w:ascii="Arial" w:hAnsi="Arial" w:cs="Arial"/>
          <w:sz w:val="24"/>
          <w:szCs w:val="24"/>
        </w:rPr>
        <w:t xml:space="preserve">el </w:t>
      </w:r>
      <w:r w:rsidR="00310548" w:rsidRPr="00650DAE">
        <w:rPr>
          <w:rFonts w:ascii="Arial" w:hAnsi="Arial" w:cs="Arial"/>
          <w:sz w:val="24"/>
          <w:szCs w:val="24"/>
        </w:rPr>
        <w:t xml:space="preserve">Centro de Ingeniería Genética y Biotecnología </w:t>
      </w:r>
      <w:r w:rsidR="00DD793B">
        <w:rPr>
          <w:rFonts w:ascii="Arial" w:hAnsi="Arial" w:cs="Arial"/>
          <w:sz w:val="24"/>
          <w:szCs w:val="24"/>
        </w:rPr>
        <w:t xml:space="preserve"> </w:t>
      </w:r>
      <w:r w:rsidR="00B04AB3" w:rsidRPr="00650DAE">
        <w:rPr>
          <w:rFonts w:ascii="Arial" w:hAnsi="Arial" w:cs="Arial"/>
          <w:sz w:val="24"/>
          <w:szCs w:val="24"/>
        </w:rPr>
        <w:t>desarrolló</w:t>
      </w:r>
      <w:r w:rsidR="00DD793B">
        <w:rPr>
          <w:rFonts w:ascii="Arial" w:hAnsi="Arial" w:cs="Arial"/>
          <w:sz w:val="24"/>
          <w:szCs w:val="24"/>
        </w:rPr>
        <w:t>: Abdala y Mambisa</w:t>
      </w:r>
      <w:r w:rsidR="00310548" w:rsidRPr="00650DAE">
        <w:rPr>
          <w:rFonts w:ascii="Arial" w:hAnsi="Arial" w:cs="Arial"/>
          <w:sz w:val="24"/>
          <w:szCs w:val="24"/>
        </w:rPr>
        <w:t>.</w:t>
      </w:r>
      <w:r w:rsidR="00B04AB3" w:rsidRPr="00650DAE">
        <w:rPr>
          <w:rStyle w:val="Refdenotaalfinal"/>
          <w:rFonts w:ascii="Arial" w:hAnsi="Arial" w:cs="Arial"/>
          <w:sz w:val="24"/>
          <w:szCs w:val="24"/>
        </w:rPr>
        <w:t xml:space="preserve"> </w:t>
      </w:r>
      <w:r w:rsidR="00B04AB3" w:rsidRPr="00650DAE">
        <w:rPr>
          <w:rFonts w:ascii="Arial" w:hAnsi="Arial" w:cs="Arial"/>
          <w:sz w:val="24"/>
          <w:szCs w:val="24"/>
        </w:rPr>
        <w:t>Actualmente más del 80% de la población cubana se encuentra inmunizada contra la COVID-19, a partir de varios esquemas de inmunización, lográndose el control de la pandemia en el país.</w:t>
      </w:r>
      <w:r w:rsidR="002733E4" w:rsidRPr="00650DAE">
        <w:rPr>
          <w:rStyle w:val="Refdenotaalfinal"/>
          <w:rFonts w:ascii="Arial" w:hAnsi="Arial" w:cs="Arial"/>
          <w:sz w:val="24"/>
          <w:szCs w:val="24"/>
        </w:rPr>
        <w:t xml:space="preserve"> </w:t>
      </w:r>
      <w:r w:rsidR="002733E4" w:rsidRPr="00650DAE">
        <w:rPr>
          <w:rStyle w:val="Refdenotaalfinal"/>
          <w:rFonts w:ascii="Arial" w:hAnsi="Arial" w:cs="Arial"/>
          <w:sz w:val="24"/>
          <w:szCs w:val="24"/>
        </w:rPr>
        <w:endnoteReference w:id="29"/>
      </w:r>
    </w:p>
    <w:p w:rsidR="00EF0463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CONCLUSIONES</w:t>
      </w:r>
      <w:r w:rsidR="00B04AB3" w:rsidRPr="00650DAE">
        <w:rPr>
          <w:rFonts w:ascii="Arial" w:hAnsi="Arial" w:cs="Arial"/>
          <w:b/>
          <w:sz w:val="24"/>
          <w:szCs w:val="24"/>
        </w:rPr>
        <w:t xml:space="preserve"> </w:t>
      </w:r>
    </w:p>
    <w:p w:rsidR="00B04AB3" w:rsidRPr="00650DAE" w:rsidRDefault="00B60DB0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dengue y la COVID-</w:t>
      </w:r>
      <w:proofErr w:type="gramStart"/>
      <w:r>
        <w:rPr>
          <w:rFonts w:ascii="Arial" w:hAnsi="Arial" w:cs="Arial"/>
          <w:sz w:val="24"/>
          <w:szCs w:val="24"/>
        </w:rPr>
        <w:t>19,</w:t>
      </w:r>
      <w:r w:rsidR="00B04AB3" w:rsidRPr="00650DAE">
        <w:rPr>
          <w:rFonts w:ascii="Arial" w:hAnsi="Arial" w:cs="Arial"/>
          <w:sz w:val="24"/>
          <w:szCs w:val="24"/>
        </w:rPr>
        <w:t>,</w:t>
      </w:r>
      <w:proofErr w:type="gramEnd"/>
      <w:r w:rsidR="00B04AB3" w:rsidRPr="00650DAE">
        <w:rPr>
          <w:rFonts w:ascii="Arial" w:hAnsi="Arial" w:cs="Arial"/>
          <w:sz w:val="24"/>
          <w:szCs w:val="24"/>
        </w:rPr>
        <w:t xml:space="preserve"> presentan diferencias en cuanto a cuadro clínico y diagnóstico, que el médico debe conocer, ya que las formas leves de ambas enfermedades se prestan a confusión diagn</w:t>
      </w:r>
      <w:r w:rsidR="006C0799" w:rsidRPr="00650DAE">
        <w:rPr>
          <w:rFonts w:ascii="Arial" w:hAnsi="Arial" w:cs="Arial"/>
          <w:sz w:val="24"/>
          <w:szCs w:val="24"/>
        </w:rPr>
        <w:t>ó</w:t>
      </w:r>
      <w:r w:rsidR="00B04AB3" w:rsidRPr="00650DAE">
        <w:rPr>
          <w:rFonts w:ascii="Arial" w:hAnsi="Arial" w:cs="Arial"/>
          <w:sz w:val="24"/>
          <w:szCs w:val="24"/>
        </w:rPr>
        <w:t xml:space="preserve">stica. El uso de marcadores </w:t>
      </w:r>
      <w:r w:rsidR="00DD793B" w:rsidRPr="00650DAE">
        <w:rPr>
          <w:rFonts w:ascii="Arial" w:hAnsi="Arial" w:cs="Arial"/>
          <w:sz w:val="24"/>
          <w:szCs w:val="24"/>
        </w:rPr>
        <w:t>pronóstico</w:t>
      </w:r>
      <w:r w:rsidR="00B04AB3" w:rsidRPr="00650DAE">
        <w:rPr>
          <w:rFonts w:ascii="Arial" w:hAnsi="Arial" w:cs="Arial"/>
          <w:sz w:val="24"/>
          <w:szCs w:val="24"/>
        </w:rPr>
        <w:t xml:space="preserve"> resulta</w:t>
      </w:r>
      <w:r w:rsidR="006C0799" w:rsidRPr="00650DAE">
        <w:rPr>
          <w:rFonts w:ascii="Arial" w:hAnsi="Arial" w:cs="Arial"/>
          <w:sz w:val="24"/>
          <w:szCs w:val="24"/>
        </w:rPr>
        <w:t xml:space="preserve"> útil</w:t>
      </w:r>
      <w:r w:rsidR="00B04AB3" w:rsidRPr="00650DAE">
        <w:rPr>
          <w:rFonts w:ascii="Arial" w:hAnsi="Arial" w:cs="Arial"/>
          <w:sz w:val="24"/>
          <w:szCs w:val="24"/>
        </w:rPr>
        <w:t xml:space="preserve"> para predecir la evolución de la enfermedad y debiera generalizarse su uso en la </w:t>
      </w:r>
      <w:r w:rsidR="006C0799" w:rsidRPr="00650DAE">
        <w:rPr>
          <w:rFonts w:ascii="Arial" w:hAnsi="Arial" w:cs="Arial"/>
          <w:sz w:val="24"/>
          <w:szCs w:val="24"/>
        </w:rPr>
        <w:t>práctica. Ambas son enfermedades en que la prevención juega un papel fundamental, tanto para la erradicación de vectores como en el aislamiento social y la descontaminación de superficies. La vacunación resulta novedosa para ambas enfermedades pero los resultados son alentadores.</w:t>
      </w:r>
    </w:p>
    <w:p w:rsidR="00EF0463" w:rsidRPr="00650DAE" w:rsidRDefault="00514442" w:rsidP="00650DAE">
      <w:pPr>
        <w:spacing w:after="0" w:line="360" w:lineRule="auto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650DAE">
        <w:rPr>
          <w:rFonts w:ascii="Arial" w:hAnsi="Arial" w:cs="Arial"/>
          <w:b/>
          <w:sz w:val="24"/>
          <w:szCs w:val="24"/>
        </w:rPr>
        <w:t>REFERENCIAS BIBLIOGRÁFICAS</w:t>
      </w:r>
    </w:p>
    <w:sectPr w:rsidR="00EF0463" w:rsidRPr="00650DAE">
      <w:footerReference w:type="default" r:id="rId12"/>
      <w:endnotePr>
        <w:numFmt w:val="decimal"/>
      </w:end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590E40">
      <w:pPr>
        <w:spacing w:after="0" w:line="240" w:lineRule="auto"/>
      </w:pPr>
      <w:r>
        <w:separator/>
      </w:r>
    </w:p>
  </w:endnote>
  <w:endnote w:type="continuationSeparator" w:id="0">
    <w:p w:rsidR="00216301" w:rsidRDefault="00216301" w:rsidP="00590E40">
      <w:pPr>
        <w:spacing w:after="0" w:line="240" w:lineRule="auto"/>
      </w:pPr>
      <w:r>
        <w:continuationSeparator/>
      </w:r>
    </w:p>
  </w:endnote>
  <w:endnote w:id="1">
    <w:p w:rsidR="00590E40" w:rsidRPr="00DA7F7F" w:rsidRDefault="00590E40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Style w:val="Refdenotaalfinal"/>
        </w:rPr>
        <w:endnoteRef/>
      </w:r>
      <w:r w:rsidRPr="00590E40">
        <w:rPr>
          <w:lang w:val="en-US"/>
        </w:rPr>
        <w:t xml:space="preserve">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Wilder-Smith A, Ooi E, Horstick O, Wills B. Dengue. The Lancet. 2019 01;393(10169):350-363. </w:t>
      </w:r>
      <w:hyperlink r:id="rId1" w:history="1">
        <w:r w:rsidRPr="00DA7F7F">
          <w:rPr>
            <w:rStyle w:val="Hipervnculo"/>
            <w:rFonts w:ascii="Arial" w:hAnsi="Arial" w:cs="Arial"/>
            <w:sz w:val="24"/>
            <w:szCs w:val="24"/>
            <w:lang w:val="en-US"/>
          </w:rPr>
          <w:t>https://doi.org/10.1016/s0140-6736(18)32560-1</w:t>
        </w:r>
      </w:hyperlink>
      <w:r w:rsidRPr="00DA7F7F">
        <w:rPr>
          <w:rFonts w:ascii="Arial" w:hAnsi="Arial" w:cs="Arial"/>
          <w:sz w:val="24"/>
          <w:szCs w:val="24"/>
          <w:lang w:val="en-US"/>
        </w:rPr>
        <w:t xml:space="preserve"> </w:t>
      </w:r>
    </w:p>
  </w:endnote>
  <w:endnote w:id="2">
    <w:p w:rsidR="00590E40" w:rsidRPr="00DA7F7F" w:rsidRDefault="00590E40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>Gorbalenya AE, Baker SC, Baric RS, de Groot RJ et al. Severe acute respiratory syndrome</w:t>
      </w:r>
      <w:r w:rsidRPr="00DA7F7F">
        <w:rPr>
          <w:rFonts w:ascii="Cambria Math" w:hAnsi="Cambria Math" w:cs="Cambria Math"/>
          <w:sz w:val="24"/>
          <w:szCs w:val="24"/>
          <w:lang w:val="en-US"/>
        </w:rPr>
        <w:t>‐</w:t>
      </w:r>
      <w:r w:rsidRPr="00DA7F7F">
        <w:rPr>
          <w:rFonts w:ascii="Arial" w:hAnsi="Arial" w:cs="Arial"/>
          <w:sz w:val="24"/>
          <w:szCs w:val="24"/>
          <w:lang w:val="en-US"/>
        </w:rPr>
        <w:t>related coronavirus: The species and its viruses – a statement of the Coronavirus Study Group. Harbour bioRxiv. 11 Feb 2020. doi:10.1101/2020.02.07.937862  </w:t>
      </w:r>
    </w:p>
  </w:endnote>
  <w:endnote w:id="3">
    <w:p w:rsidR="00590E40" w:rsidRPr="00DA7F7F" w:rsidRDefault="00590E40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Prevención y control del dengue durante la pandemia de COVID-19. Washington, D.C.: Organización Panamericana de la Salud; 2020. Disponible en: </w:t>
      </w:r>
      <w:hyperlink r:id="rId2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https://www.paho.org/es/documentos/prevencion-control-dengue-durante-pandemia-covid-19</w:t>
        </w:r>
      </w:hyperlink>
      <w:r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4">
    <w:p w:rsidR="00810D04" w:rsidRPr="00DA7F7F" w:rsidRDefault="00810D0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Organización Mundial de la Salud.  </w:t>
      </w:r>
      <w:hyperlink r:id="rId3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https://www.who.int/es/news-room/fact-sheets/detail/dengue-and-severe-dengue</w:t>
        </w:r>
      </w:hyperlink>
      <w:r w:rsidRPr="00DA7F7F">
        <w:rPr>
          <w:rFonts w:ascii="Arial" w:hAnsi="Arial" w:cs="Arial"/>
          <w:sz w:val="24"/>
          <w:szCs w:val="24"/>
        </w:rPr>
        <w:t xml:space="preserve"> Actualizado 10 de enero 2022. Consultado 16 mayo de 2022</w:t>
      </w:r>
    </w:p>
  </w:endnote>
  <w:endnote w:id="5">
    <w:p w:rsidR="00810D04" w:rsidRPr="00DA7F7F" w:rsidRDefault="00810D0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 xml:space="preserve">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Brady O, Wilder-Smith A. What is the impact of lockdowns on dengue? </w:t>
      </w:r>
      <w:r w:rsidRPr="00DA7F7F">
        <w:rPr>
          <w:rFonts w:ascii="Arial" w:hAnsi="Arial" w:cs="Arial"/>
          <w:sz w:val="24"/>
          <w:szCs w:val="24"/>
        </w:rPr>
        <w:t>Curr Infect Dis Rep. 2021; 23: 2. doi: 10.1007/s11908-020-00744-9.</w:t>
      </w:r>
    </w:p>
  </w:endnote>
  <w:endnote w:id="6">
    <w:p w:rsidR="00590E40" w:rsidRPr="00DA7F7F" w:rsidRDefault="00590E40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Moctezuma-Paz A, Flores-</w:t>
      </w:r>
      <w:r w:rsidRPr="00DA7F7F">
        <w:rPr>
          <w:rFonts w:ascii="Arial" w:hAnsi="Arial" w:cs="Arial"/>
          <w:sz w:val="24"/>
          <w:szCs w:val="24"/>
        </w:rPr>
        <w:t>Legorreta JP, Benítez-González GA, Solís-Chávez PC. Dengue en tiempos de Covid-19. Rev Med Inst Mex Seguro Soc. 2021;59(6):463-4</w:t>
      </w:r>
    </w:p>
  </w:endnote>
  <w:endnote w:id="7">
    <w:p w:rsidR="00EB6E2D" w:rsidRPr="00DA7F7F" w:rsidRDefault="00EB6E2D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Martinez JD. Cardenas de la Garza JA. Cuellar-Barboza A. Going Viral. Zika, Chikungunya, and Dengue. Dermatol Clin 37 (2019) 95-105; </w:t>
      </w:r>
      <w:hyperlink r:id="rId4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https://doi.org/10.1016/j.det.2018.07.008</w:t>
        </w:r>
      </w:hyperlink>
      <w:r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8">
    <w:p w:rsidR="00EB6E2D" w:rsidRPr="00DA7F7F" w:rsidRDefault="00EB6E2D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>Georsuath Baldi Mata; Stephanie Hernández Redondo; Rebeca Gómez López Actualización de la fiebre del dengue - e341 Revista Médica Sinergia Vol. 5 (1), Enero 2020 - ISSN:2215-4523 / e-ISSN:2215-5279</w:t>
      </w:r>
    </w:p>
  </w:endnote>
  <w:endnote w:id="9">
    <w:p w:rsidR="00EB6E2D" w:rsidRPr="00DA7F7F" w:rsidRDefault="00EB6E2D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Organización Panamericana de Salud: Clasificación Modificada de Gravedad del Dengue y otras definiciones clínicas. Actualizado 22 septiembre de 2020. Consultado 16 junio 2021 Disponible en : </w:t>
      </w:r>
      <w:hyperlink r:id="rId5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https://www.paho.org/es/documentos/clasificacion-modificada-gravedad-dengue-definiciones-clinicas</w:t>
        </w:r>
      </w:hyperlink>
      <w:r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10">
    <w:p w:rsidR="004834B9" w:rsidRPr="00DA7F7F" w:rsidRDefault="004834B9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="00132E4E" w:rsidRPr="00DA7F7F">
        <w:rPr>
          <w:rFonts w:ascii="Arial" w:hAnsi="Arial" w:cs="Arial"/>
          <w:sz w:val="24"/>
          <w:szCs w:val="24"/>
        </w:rPr>
        <w:t xml:space="preserve">Mayo </w:t>
      </w:r>
      <w:r w:rsidR="00132E4E" w:rsidRPr="00DA7F7F">
        <w:rPr>
          <w:rFonts w:ascii="Arial" w:hAnsi="Arial" w:cs="Arial"/>
          <w:sz w:val="24"/>
          <w:szCs w:val="24"/>
        </w:rPr>
        <w:t xml:space="preserve">Clinic : Enfermedad del coronavirus 2019 (COVID-19). Síntomas y signos. Actualizado 11 de mayo 2022. Consultado 23 junio 2022. Disponible en: </w:t>
      </w:r>
      <w:hyperlink r:id="rId6" w:history="1">
        <w:r w:rsidR="00132E4E" w:rsidRPr="00DA7F7F">
          <w:rPr>
            <w:rStyle w:val="Hipervnculo"/>
            <w:rFonts w:ascii="Arial" w:hAnsi="Arial" w:cs="Arial"/>
            <w:sz w:val="24"/>
            <w:szCs w:val="24"/>
          </w:rPr>
          <w:t>https://www.mayoclinic.org/es-es/diseases-conditions/coronavirus/symptoms-causes/syc-20479963</w:t>
        </w:r>
      </w:hyperlink>
      <w:r w:rsidR="00132E4E"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11">
    <w:p w:rsidR="001858DC" w:rsidRPr="00DA7F7F" w:rsidRDefault="001858DC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Martínez Torres E, </w:t>
      </w:r>
      <w:r w:rsidRPr="00DA7F7F">
        <w:rPr>
          <w:rFonts w:ascii="Arial" w:hAnsi="Arial" w:cs="Arial"/>
          <w:sz w:val="24"/>
          <w:szCs w:val="24"/>
        </w:rPr>
        <w:t xml:space="preserve">Sabatier García J: Dengue y COVID-19, semejanzas y diferencias. Rev Cub de Ped. ISSN 1561-3119.Vol.92 (2020) Disponible en: </w:t>
      </w:r>
      <w:hyperlink r:id="rId7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http://www.revpediatria.sld.cu/index.php/ped/article/view/1211</w:t>
        </w:r>
      </w:hyperlink>
      <w:r w:rsidRPr="00DA7F7F">
        <w:rPr>
          <w:rFonts w:ascii="Arial" w:hAnsi="Arial" w:cs="Arial"/>
          <w:sz w:val="24"/>
          <w:szCs w:val="24"/>
        </w:rPr>
        <w:t xml:space="preserve">   Consultado el 17 de junio de 2022</w:t>
      </w:r>
    </w:p>
  </w:endnote>
  <w:endnote w:id="12">
    <w:p w:rsidR="001703F6" w:rsidRPr="00DA7F7F" w:rsidRDefault="001703F6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="00CD3464" w:rsidRPr="00DA7F7F">
        <w:rPr>
          <w:rFonts w:ascii="Arial" w:hAnsi="Arial" w:cs="Arial"/>
          <w:sz w:val="24"/>
          <w:szCs w:val="24"/>
        </w:rPr>
        <w:t xml:space="preserve">Limonta Velázquez DJ. Marcadores de apoptosis en plasma y tejidos: probables implicaciones en la fisiopatología del dengue [Tesis]. La Habana: Instituto de Medicina Tropical Pedro Kourí; 013.135p.Disponible en: </w:t>
      </w:r>
      <w:hyperlink r:id="rId8" w:history="1">
        <w:r w:rsidR="00CD3464" w:rsidRPr="00DA7F7F">
          <w:rPr>
            <w:rStyle w:val="Hipervnculo"/>
            <w:rFonts w:ascii="Arial" w:hAnsi="Arial" w:cs="Arial"/>
            <w:sz w:val="24"/>
            <w:szCs w:val="24"/>
          </w:rPr>
          <w:t>http://tesis.repo.sld.cu/738/1/TESIS_completa_DrC_Daniel_Limonta_7nov2013.pdf</w:t>
        </w:r>
      </w:hyperlink>
      <w:r w:rsidR="00CD3464"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13">
    <w:p w:rsidR="001D1790" w:rsidRPr="00DA7F7F" w:rsidRDefault="001D1790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Collado Falcón JC,  Suárez Rodríguez C,  Díaz Dehesa MB</w:t>
      </w:r>
      <w:r w:rsidR="00B30994" w:rsidRPr="00DA7F7F">
        <w:rPr>
          <w:rFonts w:ascii="Arial" w:hAnsi="Arial" w:cs="Arial"/>
          <w:sz w:val="24"/>
          <w:szCs w:val="24"/>
        </w:rPr>
        <w:t>: Características</w:t>
      </w:r>
      <w:r w:rsidRPr="00DA7F7F">
        <w:rPr>
          <w:rFonts w:ascii="Arial" w:hAnsi="Arial" w:cs="Arial"/>
          <w:sz w:val="24"/>
          <w:szCs w:val="24"/>
        </w:rPr>
        <w:t>, diagnóstico y tratamiento de la COVID-19. Artículo de revisión. Revista Cubana de Medicina General Integral. 2021</w:t>
      </w:r>
      <w:r w:rsidR="00B30994" w:rsidRPr="00DA7F7F">
        <w:rPr>
          <w:rFonts w:ascii="Arial" w:hAnsi="Arial" w:cs="Arial"/>
          <w:sz w:val="24"/>
          <w:szCs w:val="24"/>
        </w:rPr>
        <w:t>; 37</w:t>
      </w:r>
      <w:r w:rsidRPr="00DA7F7F">
        <w:rPr>
          <w:rFonts w:ascii="Arial" w:hAnsi="Arial" w:cs="Arial"/>
          <w:sz w:val="24"/>
          <w:szCs w:val="24"/>
        </w:rPr>
        <w:t>(</w:t>
      </w:r>
      <w:r w:rsidRPr="00DA7F7F">
        <w:rPr>
          <w:rFonts w:ascii="Arial" w:hAnsi="Arial" w:cs="Arial"/>
          <w:sz w:val="24"/>
          <w:szCs w:val="24"/>
        </w:rPr>
        <w:t xml:space="preserve">Sup):e1503. Disponible en: </w:t>
      </w:r>
      <w:hyperlink r:id="rId9" w:history="1">
        <w:r w:rsidR="00B30994" w:rsidRPr="00DA7F7F">
          <w:rPr>
            <w:rStyle w:val="Hipervnculo"/>
            <w:rFonts w:ascii="Arial" w:hAnsi="Arial" w:cs="Arial"/>
            <w:sz w:val="24"/>
            <w:szCs w:val="24"/>
          </w:rPr>
          <w:t>http://www.revmgi.sld.cu/index.php/mgi/article/view/1503</w:t>
        </w:r>
      </w:hyperlink>
      <w:r w:rsidR="00B30994"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14">
    <w:p w:rsidR="00C92BA6" w:rsidRPr="00DA7F7F" w:rsidRDefault="00C92BA6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Coinfeccion de las SARS-CoV 2 y Virus del Dengue: Reporte de Caso. Acta Medica Peruasna.Peru. Vol.38, No.2, abr/jun 2021. ISSN 1728-5917 Disponible en: </w:t>
      </w:r>
      <w:hyperlink r:id="rId10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http://www.scielo.org.pe/scielo.php?script=sci_arttext&amp;pid=S1728-59172021000200123</w:t>
        </w:r>
      </w:hyperlink>
      <w:r w:rsidRPr="00DA7F7F">
        <w:rPr>
          <w:rFonts w:ascii="Arial" w:hAnsi="Arial" w:cs="Arial"/>
          <w:sz w:val="24"/>
          <w:szCs w:val="24"/>
        </w:rPr>
        <w:t xml:space="preserve"> Consultado 17 de junio de 2022 </w:t>
      </w:r>
    </w:p>
  </w:endnote>
  <w:endnote w:id="15">
    <w:p w:rsidR="001858DC" w:rsidRPr="00DA7F7F" w:rsidRDefault="001858DC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>Valdes GJL, Valdes GEM, Solis CU, ET AL.Dengue, COVID-19 Y Gota, una asociación infrecuente. Rev Cub de Reu. 2020; 22 (Suppl</w:t>
      </w:r>
      <w:r w:rsidRPr="00DA7F7F">
        <w:rPr>
          <w:rFonts w:ascii="Arial" w:hAnsi="Arial" w:cs="Arial"/>
          <w:sz w:val="24"/>
          <w:szCs w:val="24"/>
        </w:rPr>
        <w:t xml:space="preserve">:1) Disponible en: </w:t>
      </w:r>
      <w:hyperlink r:id="rId11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https://www.mediagraphic.com/cgi-bin/new/resumen.cgi?IDARTICULO=102685&amp;idP=9626</w:t>
        </w:r>
      </w:hyperlink>
      <w:r w:rsidRPr="00DA7F7F">
        <w:rPr>
          <w:rFonts w:ascii="Arial" w:hAnsi="Arial" w:cs="Arial"/>
          <w:sz w:val="24"/>
          <w:szCs w:val="24"/>
        </w:rPr>
        <w:t xml:space="preserve">  . Consultado 17 de junio de 2022</w:t>
      </w:r>
    </w:p>
  </w:endnote>
  <w:endnote w:id="16">
    <w:p w:rsidR="00B30994" w:rsidRPr="00DA7F7F" w:rsidRDefault="00B30994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Bicudo N, Bicudo E, Costa JD, Castro JALP, Barra GB. </w:t>
      </w:r>
      <w:r w:rsidRPr="00DA7F7F">
        <w:rPr>
          <w:rFonts w:ascii="Arial" w:hAnsi="Arial" w:cs="Arial"/>
          <w:sz w:val="24"/>
          <w:szCs w:val="24"/>
          <w:lang w:val="en-US"/>
        </w:rPr>
        <w:t>Co-infection of SARS-CoV-2 and dengue virus: a clinical challenge. Braz J Infect Dis Off Publ Braz Soc Infect Dis. octubre de 2020</w:t>
      </w:r>
      <w:r w:rsidRPr="00DA7F7F">
        <w:rPr>
          <w:rFonts w:ascii="Arial" w:hAnsi="Arial" w:cs="Arial"/>
          <w:sz w:val="24"/>
          <w:szCs w:val="24"/>
          <w:lang w:val="en-US"/>
        </w:rPr>
        <w:t>;24(5):452-4.</w:t>
      </w:r>
    </w:p>
  </w:endnote>
  <w:endnote w:id="17">
    <w:p w:rsidR="00B30994" w:rsidRPr="00DA7F7F" w:rsidRDefault="00B3099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 xml:space="preserve">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Epelboin L, Blondé R, Nacher M, Combe P, Collet L. COVID-19 and dengue co-infection in a returning traveller. </w:t>
      </w:r>
      <w:r w:rsidRPr="00DA7F7F">
        <w:rPr>
          <w:rFonts w:ascii="Arial" w:hAnsi="Arial" w:cs="Arial"/>
          <w:sz w:val="24"/>
          <w:szCs w:val="24"/>
        </w:rPr>
        <w:t>J Travel Med. 26 de 2020; 27(6).</w:t>
      </w:r>
    </w:p>
  </w:endnote>
  <w:endnote w:id="18">
    <w:p w:rsidR="00B30994" w:rsidRPr="00DA7F7F" w:rsidRDefault="00B3099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Pontes RL, de Brito BB, da Silva FAF, Figueredo MS, Correia TML, Teixeira AF, et al.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Coinfection by SARS-CoV-2 and dengue virus in a dual viral circulation setting. </w:t>
      </w:r>
      <w:r w:rsidRPr="00DA7F7F">
        <w:rPr>
          <w:rFonts w:ascii="Arial" w:hAnsi="Arial" w:cs="Arial"/>
          <w:sz w:val="24"/>
          <w:szCs w:val="24"/>
        </w:rPr>
        <w:t>Travel Med Infect Dis. octubre de 2020; 37:101862.</w:t>
      </w:r>
    </w:p>
  </w:endnote>
  <w:endnote w:id="19">
    <w:p w:rsidR="00120C2B" w:rsidRPr="00DA7F7F" w:rsidRDefault="00120C2B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León </w:t>
      </w:r>
      <w:r w:rsidRPr="00DA7F7F">
        <w:rPr>
          <w:rFonts w:ascii="Arial" w:hAnsi="Arial" w:cs="Arial"/>
          <w:sz w:val="24"/>
          <w:szCs w:val="24"/>
        </w:rPr>
        <w:t>Ramentol CC, Betancourt Bethencourt JA, Nicolau Pestana E, Torres Tellez K: Biomarcadores para la predicción de la gravedad del dengue. Ccm</w:t>
      </w:r>
      <w:r w:rsidR="008300AD" w:rsidRPr="00DA7F7F">
        <w:rPr>
          <w:rFonts w:ascii="Arial" w:hAnsi="Arial" w:cs="Arial"/>
          <w:sz w:val="24"/>
          <w:szCs w:val="24"/>
        </w:rPr>
        <w:t xml:space="preserve"> Holg</w:t>
      </w:r>
      <w:r w:rsidRPr="00DA7F7F">
        <w:rPr>
          <w:rFonts w:ascii="Arial" w:hAnsi="Arial" w:cs="Arial"/>
          <w:sz w:val="24"/>
          <w:szCs w:val="24"/>
        </w:rPr>
        <w:t xml:space="preserve"> (</w:t>
      </w:r>
      <w:r w:rsidR="008300AD" w:rsidRPr="00DA7F7F">
        <w:rPr>
          <w:rFonts w:ascii="Arial" w:hAnsi="Arial" w:cs="Arial"/>
          <w:sz w:val="24"/>
          <w:szCs w:val="24"/>
        </w:rPr>
        <w:t>internet</w:t>
      </w:r>
      <w:r w:rsidRPr="00DA7F7F">
        <w:rPr>
          <w:rFonts w:ascii="Arial" w:hAnsi="Arial" w:cs="Arial"/>
          <w:sz w:val="24"/>
          <w:szCs w:val="24"/>
        </w:rPr>
        <w:t xml:space="preserve">) 2016. Jun. Citado: 26 de junio 2022. 20 (2): 305-321. Disponible en: </w:t>
      </w:r>
      <w:hyperlink r:id="rId12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http://scielo.sld.cu/scielo.php?script=sci_arttext&amp;pid=S1560-43812016000200008&amp;Ing=es</w:t>
        </w:r>
      </w:hyperlink>
      <w:r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20">
    <w:p w:rsidR="00D216C6" w:rsidRPr="00DA7F7F" w:rsidRDefault="00D216C6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 xml:space="preserve"> Wool G.D, Miller J.L.: The impact of COVID-19 Disease on platelets and coagulation. Pathobiology 2021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;88:15-27. </w:t>
      </w:r>
      <w:r w:rsidRPr="00DA7F7F">
        <w:rPr>
          <w:rFonts w:ascii="Arial" w:hAnsi="Arial" w:cs="Arial"/>
          <w:sz w:val="24"/>
          <w:szCs w:val="24"/>
        </w:rPr>
        <w:t xml:space="preserve">Disponible en: </w:t>
      </w:r>
      <w:hyperlink r:id="rId13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https://doi.org/10.1159/000512007</w:t>
        </w:r>
      </w:hyperlink>
      <w:r w:rsidRPr="00DA7F7F">
        <w:rPr>
          <w:rFonts w:ascii="Arial" w:hAnsi="Arial" w:cs="Arial"/>
          <w:sz w:val="24"/>
          <w:szCs w:val="24"/>
        </w:rPr>
        <w:t xml:space="preserve">   </w:t>
      </w:r>
    </w:p>
  </w:endnote>
  <w:endnote w:id="21">
    <w:p w:rsidR="00D216C6" w:rsidRPr="00DA7F7F" w:rsidRDefault="00D216C6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 xml:space="preserve">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Afari ME, Bhat T. Neutrophil to lymphocyte ratio (NLR) and cardiovascular diseases: an update. Expert Rev </w:t>
      </w:r>
    </w:p>
    <w:p w:rsidR="00D216C6" w:rsidRPr="00DA7F7F" w:rsidRDefault="00D216C6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 w:rsidRPr="00DA7F7F">
        <w:rPr>
          <w:rFonts w:ascii="Arial" w:hAnsi="Arial" w:cs="Arial"/>
          <w:sz w:val="24"/>
          <w:szCs w:val="24"/>
          <w:lang w:val="en-US"/>
        </w:rPr>
        <w:t>Cardiovasc Ther2016; 14: 573-7</w:t>
      </w:r>
    </w:p>
  </w:endnote>
  <w:endnote w:id="22">
    <w:p w:rsidR="00D216C6" w:rsidRPr="00DA7F7F" w:rsidRDefault="00D216C6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 xml:space="preserve"> </w:t>
      </w:r>
      <w:r w:rsidRPr="00DA7F7F">
        <w:rPr>
          <w:rFonts w:ascii="Arial" w:hAnsi="Arial" w:cs="Arial"/>
          <w:sz w:val="24"/>
          <w:szCs w:val="24"/>
          <w:lang w:val="en-US"/>
        </w:rPr>
        <w:t>Akilli NB, Yortanlı M, Mutlu H, et al. Prognostic importance of neutrophil-lymphocyte ratio in critically ill patients: short- and long-term outcomes. Am J Emerg Med2014; 32: 1476-80</w:t>
      </w:r>
    </w:p>
  </w:endnote>
  <w:endnote w:id="23">
    <w:p w:rsidR="00F41AF4" w:rsidRPr="00DA7F7F" w:rsidRDefault="00F41AF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  <w:lang w:val="en-US"/>
        </w:rPr>
        <w:t xml:space="preserve"> Lagunas-Rangel FA. Neutrophil-to-lymphocyte ratio and lymphocyte-to-C-reactive protein ratio in patients with se-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vere coronavirus disease 2019 (COVID-19): A meta-anal-ysis. </w:t>
      </w:r>
      <w:r w:rsidRPr="00DA7F7F">
        <w:rPr>
          <w:rFonts w:ascii="Arial" w:hAnsi="Arial" w:cs="Arial"/>
          <w:sz w:val="24"/>
          <w:szCs w:val="24"/>
        </w:rPr>
        <w:t xml:space="preserve">J Med Virol2020; 10.1002/jmv.25819. doi:10.1002/jmv.25819 </w:t>
      </w:r>
    </w:p>
  </w:endnote>
  <w:endnote w:id="24">
    <w:p w:rsidR="00F41AF4" w:rsidRPr="00DA7F7F" w:rsidRDefault="00F41AF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Liu J, Liu Y, Xiang P, et al.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Neutrophil-to-lymphocyte ratio predicts critical illness patients with 2019 coro-navirus disease in the early stage. </w:t>
      </w:r>
      <w:r w:rsidRPr="00DA7F7F">
        <w:rPr>
          <w:rFonts w:ascii="Arial" w:hAnsi="Arial" w:cs="Arial"/>
          <w:sz w:val="24"/>
          <w:szCs w:val="24"/>
        </w:rPr>
        <w:t>J Transl Med 2020;18: 206</w:t>
      </w:r>
    </w:p>
  </w:endnote>
  <w:endnote w:id="25">
    <w:p w:rsidR="00F41AF4" w:rsidRPr="00DA7F7F" w:rsidRDefault="00F41AF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>Basbus L, Lapidus M, Martingano I, Puga MC, Pollán J: Índice Neutrófilo-Linfocito Como Factor Pronóstico De Covid-19. MEDICINA (Buenos Aires) 2020; Vol. 80 (Supl. III): 31-36. ISSN 1669-9106</w:t>
      </w:r>
    </w:p>
  </w:endnote>
  <w:endnote w:id="26">
    <w:p w:rsidR="00C92BA6" w:rsidRPr="00DA7F7F" w:rsidRDefault="00C92BA6" w:rsidP="00DA7F7F">
      <w:pPr>
        <w:pStyle w:val="Textonotaalfinal"/>
        <w:jc w:val="both"/>
        <w:rPr>
          <w:rFonts w:ascii="Arial" w:hAnsi="Arial" w:cs="Arial"/>
          <w:sz w:val="24"/>
          <w:szCs w:val="24"/>
          <w:lang w:val="en-US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Administration, U. F. (16 de enero de 2019). </w:t>
      </w:r>
      <w:r w:rsidRPr="00DA7F7F">
        <w:rPr>
          <w:rFonts w:ascii="Arial" w:hAnsi="Arial" w:cs="Arial"/>
          <w:sz w:val="24"/>
          <w:szCs w:val="24"/>
          <w:lang w:val="en-US"/>
        </w:rPr>
        <w:t xml:space="preserve">U.S Food &amp; Drug Administration. Obtenido de U.S. Food &amp; Drug Administration:  </w:t>
      </w:r>
      <w:hyperlink r:id="rId14" w:history="1">
        <w:r w:rsidRPr="00DA7F7F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https://www.fda.gov/news-events/press-announcements/first-fda-approved-vaccine-prevention-dengue-disease-endemic-regions</w:t>
        </w:r>
      </w:hyperlink>
      <w:r w:rsidRPr="00DA7F7F">
        <w:rPr>
          <w:rFonts w:ascii="Arial" w:hAnsi="Arial" w:cs="Arial"/>
          <w:sz w:val="24"/>
          <w:szCs w:val="24"/>
          <w:lang w:val="en-US"/>
        </w:rPr>
        <w:t xml:space="preserve"> </w:t>
      </w:r>
    </w:p>
  </w:endnote>
  <w:endnote w:id="27">
    <w:p w:rsidR="00C92BA6" w:rsidRPr="00DA7F7F" w:rsidRDefault="00C92BA6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Pr="00DA7F7F">
        <w:rPr>
          <w:rFonts w:ascii="Arial" w:hAnsi="Arial" w:cs="Arial"/>
          <w:sz w:val="24"/>
          <w:szCs w:val="24"/>
        </w:rPr>
        <w:t xml:space="preserve">Valdes Prado Iris, Gil L, Lazo L, HermidaL, Guillen G, Izqierdo A, et al: Esquemas de inmunización complementaria basados en la combinación de un formulación tetravalente de proteínas recombinantes y virus vivos atenuados: estrategia vacunal contra el dengue. An Acad Cien Cub. Vol.11 No.2 (2021) Disponible en: </w:t>
      </w:r>
      <w:hyperlink r:id="rId15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http://www.revistaccuba.cu/index.php/revacc/article/view/822</w:t>
        </w:r>
      </w:hyperlink>
      <w:r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28">
    <w:p w:rsidR="00243A2C" w:rsidRPr="00DA7F7F" w:rsidRDefault="00243A2C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Ortiz-Ibarra FJ, Simón-Campos JA, Macías-Hernández A, Anda-Garay JC, Vázquez-Cortés J, García-Méndez J, et al: COVID-19: prevención, diagnóstico y tratamiento. Recomendaciones de un grupo multidisciplinario. </w:t>
      </w:r>
      <w:r w:rsidRPr="00DA7F7F">
        <w:rPr>
          <w:rFonts w:ascii="Arial" w:hAnsi="Arial" w:cs="Arial"/>
          <w:sz w:val="24"/>
          <w:szCs w:val="24"/>
        </w:rPr>
        <w:t xml:space="preserve">Med Int Méx 2022; 38 (2): 288-321. Disponible en: </w:t>
      </w:r>
      <w:hyperlink r:id="rId16" w:history="1">
        <w:r w:rsidRPr="00DA7F7F">
          <w:rPr>
            <w:rStyle w:val="Hipervnculo"/>
            <w:rFonts w:ascii="Arial" w:hAnsi="Arial" w:cs="Arial"/>
            <w:sz w:val="24"/>
            <w:szCs w:val="24"/>
          </w:rPr>
          <w:t>https://doi.org/10.24245/mim.v38i2.7493</w:t>
        </w:r>
      </w:hyperlink>
      <w:r w:rsidRPr="00DA7F7F">
        <w:rPr>
          <w:rFonts w:ascii="Arial" w:hAnsi="Arial" w:cs="Arial"/>
          <w:sz w:val="24"/>
          <w:szCs w:val="24"/>
        </w:rPr>
        <w:t xml:space="preserve"> </w:t>
      </w:r>
    </w:p>
  </w:endnote>
  <w:endnote w:id="29">
    <w:p w:rsidR="002733E4" w:rsidRPr="00DA7F7F" w:rsidRDefault="002733E4" w:rsidP="00DA7F7F">
      <w:pPr>
        <w:pStyle w:val="Textonotaalfinal"/>
        <w:jc w:val="both"/>
        <w:rPr>
          <w:rFonts w:ascii="Arial" w:hAnsi="Arial" w:cs="Arial"/>
          <w:sz w:val="24"/>
          <w:szCs w:val="24"/>
        </w:rPr>
      </w:pPr>
      <w:r w:rsidRPr="00DA7F7F">
        <w:rPr>
          <w:rStyle w:val="Refdenotaalfinal"/>
          <w:rFonts w:ascii="Arial" w:hAnsi="Arial" w:cs="Arial"/>
          <w:sz w:val="24"/>
          <w:szCs w:val="24"/>
        </w:rPr>
        <w:endnoteRef/>
      </w:r>
      <w:r w:rsidRPr="00DA7F7F">
        <w:rPr>
          <w:rFonts w:ascii="Arial" w:hAnsi="Arial" w:cs="Arial"/>
          <w:sz w:val="24"/>
          <w:szCs w:val="24"/>
        </w:rPr>
        <w:t xml:space="preserve"> </w:t>
      </w:r>
      <w:r w:rsidR="00B60DB0">
        <w:rPr>
          <w:rFonts w:ascii="Arial" w:hAnsi="Arial" w:cs="Arial"/>
          <w:sz w:val="24"/>
          <w:szCs w:val="24"/>
        </w:rPr>
        <w:t>Asociación</w:t>
      </w:r>
      <w:r w:rsidR="008A1B20">
        <w:rPr>
          <w:rFonts w:ascii="Arial" w:hAnsi="Arial" w:cs="Arial"/>
          <w:sz w:val="24"/>
          <w:szCs w:val="24"/>
        </w:rPr>
        <w:t xml:space="preserve"> Española de </w:t>
      </w:r>
      <w:r w:rsidR="00B60DB0">
        <w:rPr>
          <w:rFonts w:ascii="Arial" w:hAnsi="Arial" w:cs="Arial"/>
          <w:sz w:val="24"/>
          <w:szCs w:val="24"/>
        </w:rPr>
        <w:t>Pediatría</w:t>
      </w:r>
      <w:r w:rsidR="008A1B20">
        <w:rPr>
          <w:rFonts w:ascii="Arial" w:hAnsi="Arial" w:cs="Arial"/>
          <w:sz w:val="24"/>
          <w:szCs w:val="24"/>
        </w:rPr>
        <w:t>. Comité Asesor de vacunas: ¿Qué se sabe de las vacunas de la COVID desarrolladas en Cuba</w:t>
      </w:r>
      <w:r w:rsidR="00B60DB0">
        <w:rPr>
          <w:rFonts w:ascii="Arial" w:hAnsi="Arial" w:cs="Arial"/>
          <w:sz w:val="24"/>
          <w:szCs w:val="24"/>
        </w:rPr>
        <w:t>?</w:t>
      </w:r>
      <w:r w:rsidR="008A1B20">
        <w:rPr>
          <w:rFonts w:ascii="Arial" w:hAnsi="Arial" w:cs="Arial"/>
          <w:sz w:val="24"/>
          <w:szCs w:val="24"/>
        </w:rPr>
        <w:t xml:space="preserve"> </w:t>
      </w:r>
      <w:r w:rsidR="00B60DB0">
        <w:rPr>
          <w:rFonts w:ascii="Arial" w:hAnsi="Arial" w:cs="Arial"/>
          <w:sz w:val="24"/>
          <w:szCs w:val="24"/>
        </w:rPr>
        <w:t>Actualización</w:t>
      </w:r>
      <w:r w:rsidR="008A1B20">
        <w:rPr>
          <w:rFonts w:ascii="Arial" w:hAnsi="Arial" w:cs="Arial"/>
          <w:sz w:val="24"/>
          <w:szCs w:val="24"/>
        </w:rPr>
        <w:t xml:space="preserve"> 2 de septiembre 2021. Consultado 23 junio 2022. Disponible en: </w:t>
      </w:r>
      <w:hyperlink r:id="rId17" w:history="1">
        <w:r w:rsidR="008A1B20" w:rsidRPr="006B01E4">
          <w:rPr>
            <w:rStyle w:val="Hipervnculo"/>
            <w:rFonts w:ascii="Arial" w:hAnsi="Arial" w:cs="Arial"/>
            <w:sz w:val="24"/>
            <w:szCs w:val="24"/>
          </w:rPr>
          <w:t>https://vacunasaep.org/profesionales/noticias/covid-19-vacunas-investigadas-en-cuba</w:t>
        </w:r>
      </w:hyperlink>
      <w:r w:rsidR="008A1B20">
        <w:rPr>
          <w:rFonts w:ascii="Arial" w:hAnsi="Arial" w:cs="Arial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8361168"/>
      <w:docPartObj>
        <w:docPartGallery w:val="Page Numbers (Bottom of Page)"/>
        <w:docPartUnique/>
      </w:docPartObj>
    </w:sdtPr>
    <w:sdtEndPr/>
    <w:sdtContent>
      <w:p w:rsidR="007B5B2A" w:rsidRDefault="007B5B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34" w:rsidRPr="004D2E34">
          <w:rPr>
            <w:noProof/>
            <w:lang w:val="es-ES"/>
          </w:rPr>
          <w:t>10</w:t>
        </w:r>
        <w:r>
          <w:fldChar w:fldCharType="end"/>
        </w:r>
      </w:p>
    </w:sdtContent>
  </w:sdt>
  <w:p w:rsidR="007B5B2A" w:rsidRDefault="007B5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590E40">
      <w:pPr>
        <w:spacing w:after="0" w:line="240" w:lineRule="auto"/>
      </w:pPr>
      <w:r>
        <w:separator/>
      </w:r>
    </w:p>
  </w:footnote>
  <w:footnote w:type="continuationSeparator" w:id="0">
    <w:p w:rsidR="00216301" w:rsidRDefault="00216301" w:rsidP="0059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900"/>
    <w:multiLevelType w:val="hybridMultilevel"/>
    <w:tmpl w:val="83F000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DF"/>
    <w:rsid w:val="00044034"/>
    <w:rsid w:val="00096521"/>
    <w:rsid w:val="000F12FD"/>
    <w:rsid w:val="00120C2B"/>
    <w:rsid w:val="00132E4E"/>
    <w:rsid w:val="001703F6"/>
    <w:rsid w:val="001858DC"/>
    <w:rsid w:val="001D1790"/>
    <w:rsid w:val="001E6112"/>
    <w:rsid w:val="00201F0C"/>
    <w:rsid w:val="00216301"/>
    <w:rsid w:val="00243A2C"/>
    <w:rsid w:val="00260408"/>
    <w:rsid w:val="002733E4"/>
    <w:rsid w:val="00310548"/>
    <w:rsid w:val="003760C4"/>
    <w:rsid w:val="0037643D"/>
    <w:rsid w:val="0044226E"/>
    <w:rsid w:val="004834B9"/>
    <w:rsid w:val="004D2E34"/>
    <w:rsid w:val="00514442"/>
    <w:rsid w:val="00590E40"/>
    <w:rsid w:val="00650DAE"/>
    <w:rsid w:val="00687128"/>
    <w:rsid w:val="006C0799"/>
    <w:rsid w:val="007B1DBE"/>
    <w:rsid w:val="007B5B2A"/>
    <w:rsid w:val="007D5530"/>
    <w:rsid w:val="007F3B7B"/>
    <w:rsid w:val="00810D04"/>
    <w:rsid w:val="008300AD"/>
    <w:rsid w:val="008A1B20"/>
    <w:rsid w:val="00952892"/>
    <w:rsid w:val="009612FD"/>
    <w:rsid w:val="00A26FAF"/>
    <w:rsid w:val="00B04AB3"/>
    <w:rsid w:val="00B30994"/>
    <w:rsid w:val="00B41407"/>
    <w:rsid w:val="00B60DB0"/>
    <w:rsid w:val="00BD05A8"/>
    <w:rsid w:val="00C047CA"/>
    <w:rsid w:val="00C15032"/>
    <w:rsid w:val="00C653BD"/>
    <w:rsid w:val="00C92BA6"/>
    <w:rsid w:val="00CD3464"/>
    <w:rsid w:val="00D21342"/>
    <w:rsid w:val="00D216C6"/>
    <w:rsid w:val="00DA7F7F"/>
    <w:rsid w:val="00DD793B"/>
    <w:rsid w:val="00EB6E2D"/>
    <w:rsid w:val="00EC7762"/>
    <w:rsid w:val="00EF0463"/>
    <w:rsid w:val="00EF0EDF"/>
    <w:rsid w:val="00F41AF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149545-4C7F-4E9F-9C86-5C7A2A94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1F0C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90E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90E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90E40"/>
    <w:rPr>
      <w:vertAlign w:val="superscript"/>
    </w:rPr>
  </w:style>
  <w:style w:type="paragraph" w:styleId="Prrafodelista">
    <w:name w:val="List Paragraph"/>
    <w:basedOn w:val="Normal"/>
    <w:uiPriority w:val="34"/>
    <w:qFormat/>
    <w:rsid w:val="005144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5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B2A"/>
  </w:style>
  <w:style w:type="paragraph" w:styleId="Piedepgina">
    <w:name w:val="footer"/>
    <w:basedOn w:val="Normal"/>
    <w:link w:val="PiedepginaCar"/>
    <w:uiPriority w:val="99"/>
    <w:unhideWhenUsed/>
    <w:rsid w:val="007B5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276-246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bportuondo@infomed.sld.c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5431-296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cagaes730@gmail.com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tesis.repo.sld.cu/738/1/TESIS_completa_DrC_Daniel_Limonta_7nov2013.pdf" TargetMode="External"/><Relationship Id="rId13" Type="http://schemas.openxmlformats.org/officeDocument/2006/relationships/hyperlink" Target="https://doi.org/10.1159/000512007" TargetMode="External"/><Relationship Id="rId3" Type="http://schemas.openxmlformats.org/officeDocument/2006/relationships/hyperlink" Target="https://www.who.int/es/news-room/fact-sheets/detail/dengue-and-severe-dengue" TargetMode="External"/><Relationship Id="rId7" Type="http://schemas.openxmlformats.org/officeDocument/2006/relationships/hyperlink" Target="http://www.revpediatria.sld.cu/index.php/ped/article/view/1211" TargetMode="External"/><Relationship Id="rId12" Type="http://schemas.openxmlformats.org/officeDocument/2006/relationships/hyperlink" Target="http://scielo.sld.cu/scielo.php?script=sci_arttext&amp;pid=S1560-43812016000200008&amp;Ing=es" TargetMode="External"/><Relationship Id="rId17" Type="http://schemas.openxmlformats.org/officeDocument/2006/relationships/hyperlink" Target="https://vacunasaep.org/profesionales/noticias/covid-19-vacunas-investigadas-en-cuba" TargetMode="External"/><Relationship Id="rId2" Type="http://schemas.openxmlformats.org/officeDocument/2006/relationships/hyperlink" Target="https://www.paho.org/es/documentos/prevencion-control-dengue-durante-pandemia-covid-19" TargetMode="External"/><Relationship Id="rId16" Type="http://schemas.openxmlformats.org/officeDocument/2006/relationships/hyperlink" Target="https://doi.org/10.24245/mim.v38i2.7493" TargetMode="External"/><Relationship Id="rId1" Type="http://schemas.openxmlformats.org/officeDocument/2006/relationships/hyperlink" Target="https://doi.org/10.1016/s0140-6736(18)32560-1" TargetMode="External"/><Relationship Id="rId6" Type="http://schemas.openxmlformats.org/officeDocument/2006/relationships/hyperlink" Target="https://www.mayoclinic.org/es-es/diseases-conditions/coronavirus/symptoms-causes/syc-20479963" TargetMode="External"/><Relationship Id="rId11" Type="http://schemas.openxmlformats.org/officeDocument/2006/relationships/hyperlink" Target="https://www.mediagraphic.com/cgi-bin/new/resumen.cgi?IDARTICULO=102685&amp;idP=9626" TargetMode="External"/><Relationship Id="rId5" Type="http://schemas.openxmlformats.org/officeDocument/2006/relationships/hyperlink" Target="https://www.paho.org/es/documentos/clasificacion-modificada-gravedad-dengue-definiciones-clinicas" TargetMode="External"/><Relationship Id="rId15" Type="http://schemas.openxmlformats.org/officeDocument/2006/relationships/hyperlink" Target="http://www.revistaccuba.cu/index.php/revacc/article/view/822" TargetMode="External"/><Relationship Id="rId10" Type="http://schemas.openxmlformats.org/officeDocument/2006/relationships/hyperlink" Target="http://www.scielo.org.pe/scielo.php?script=sci_arttext&amp;pid=S1728-59172021000200123" TargetMode="External"/><Relationship Id="rId4" Type="http://schemas.openxmlformats.org/officeDocument/2006/relationships/hyperlink" Target="https://doi.org/10.1016/j.det.2018.07.008" TargetMode="External"/><Relationship Id="rId9" Type="http://schemas.openxmlformats.org/officeDocument/2006/relationships/hyperlink" Target="http://www.revmgi.sld.cu/index.php/mgi/article/view/1503" TargetMode="External"/><Relationship Id="rId14" Type="http://schemas.openxmlformats.org/officeDocument/2006/relationships/hyperlink" Target="https://www.fda.gov/news-events/press-announcements/first-fda-approved-vaccine-prevention-dengue-disease-endemic-reg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FC6F-E8FA-488D-A773-D6819E68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2452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noosferaz</dc:creator>
  <cp:keywords/>
  <dc:description/>
  <cp:lastModifiedBy>Casa</cp:lastModifiedBy>
  <cp:revision>2</cp:revision>
  <dcterms:created xsi:type="dcterms:W3CDTF">2022-10-26T20:37:00Z</dcterms:created>
  <dcterms:modified xsi:type="dcterms:W3CDTF">2022-10-26T20:37:00Z</dcterms:modified>
</cp:coreProperties>
</file>